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dance_therapy_rehab_bibliometrics</w:t>
      </w:r>
    </w:p>
    <w:p>
      <w:r>
        <w:t xml:space="preserve"> </w:t>
      </w:r>
    </w:p>
    <w:p>
      <w:pPr>
        <w:pStyle w:val="Heading2"/>
      </w:pPr>
      <w:r>
        <w:t>Title</w:t>
      </w:r>
    </w:p>
    <w:p>
      <w:r>
        <w:t>A preregistered reproducible bibliometric pipeline to map dance therapy research in rehabilitation (2000–2024) using calibrated deduplication, Bayesian evidence‑strength labeling, and equity‑aware clustering</w:t>
      </w:r>
    </w:p>
    <w:p>
      <w:r>
        <w:t xml:space="preserve"> </w:t>
      </w:r>
    </w:p>
    <w:p>
      <w:pPr>
        <w:pStyle w:val="Heading2"/>
      </w:pPr>
      <w:r>
        <w:t>Short Hypothesis</w:t>
      </w:r>
    </w:p>
    <w:p>
      <w:r>
        <w:t>A calibrated, preregistered bibliometric pipeline that integrates deduplication calibration, Bayesian evidence‑strength labeling, and equity metrics will produce more stable and clinically interpretable research clusters (adjusted Rand index ≥ 0.60 and clinician agreement κ ≥ 0.70) than a conventional uncalibrated bibliometric workflow.</w:t>
      </w:r>
    </w:p>
    <w:p>
      <w:r>
        <w:t xml:space="preserve"> </w:t>
      </w:r>
    </w:p>
    <w:p>
      <w:pPr>
        <w:pStyle w:val="Heading2"/>
      </w:pPr>
      <w:r>
        <w:t>Related Work</w:t>
      </w:r>
    </w:p>
    <w:p>
      <w:r>
        <w:t>Prior bibliometric studies use keyword co-occurrence, citation, and co-authorship networks (tools: VOSviewer, CiteSpace, bibliometrix) to map research fields. Existing approaches often apply default deduplication and clustering parameters, rely on single-source exports, and present descriptive trends without reproducible pipelines. Meta-analyses in rehabilitation typically use classical frequentist pooling with ad hoc heterogeneity rules and limited handling of small k or missing variances. Work on intervention reporting (e.g., TIDieR/CERT) and risk-of-bias grading shows inconsistent adoption across rehabilitation trials, reducing comparability. Equity and LMIC representation are rarely quantified systematically in bibliometrics. Limitations include: unstable cluster solutions from arbitrary parameter choices, unvalidated deduplication leading to merged or split records, lack of preregistered decision rules, poor handling of paywalled or non-English records, and absence of a transparent evidence‑strength composite that combines reporting completeness, internal validity, and citation context.</w:t>
      </w:r>
    </w:p>
    <w:p>
      <w:r>
        <w:t xml:space="preserve"> </w:t>
      </w:r>
    </w:p>
    <w:p>
      <w:pPr>
        <w:pStyle w:val="Heading2"/>
      </w:pPr>
      <w:r>
        <w:t>Abstract</w:t>
      </w:r>
    </w:p>
    <w:p>
      <w:r>
        <w:t>We propose a preregistered, reproducible bibliometric pipeline to map two decades (2000–2024) of research on dance therapy in rehabilitation. The pipeline combines calibrated fuzzy deduplication, author/institution disambiguation, equity metrics (LMIC and gender representation), topic and network clustering, and a Bayesian evidence‑strength label that integrates intervention reporting completeness, study quality, and normalized citation impact. The main contribution is an auditable workflow that (1) quantifies cluster stability across parameter sweeps, (2) flags equity gaps, and (3) produces evidence‑graded thematic maps for clinical translation. Expected outcomes include: stable, clinically meaningful research clusters; transparent indicators of reporting and methodological quality across topics; and an open dataset, codebase, and uncertainty-aware visualizations for stakeholders. The pipeline will support reproducible monitoring of field evolution, prioritize underrepresented areas for future trials, and provide a defensible basis for evidence synthesis in dance‑based rehabilitation.</w:t>
      </w:r>
    </w:p>
    <w:p>
      <w:r>
        <w:t xml:space="preserve"> </w:t>
      </w:r>
    </w:p>
    <w:p>
      <w:pPr>
        <w:pStyle w:val="Heading2"/>
      </w:pPr>
      <w:r>
        <w:t>Experiments</w:t>
      </w:r>
    </w:p>
    <w:p>
      <w:r>
        <w:t>Datasets: exports (2000–2024) from Web of Science Core Collection, Scopus, PubMed, Dimensions/OpenAlex; grey literature (trial registries, preprints, theses) flagged separately. Gold‑standard pilots: (a) deduplication calibration set n=200 ambiguous pairs with manual labels; (b) extraction pilot n=60 for rater IRR. Baselines: (1) conventional pipeline using default VOSviewer/CiteSpace settings and deterministic deduplication, (2) metadata‑only pipeline (OpenAlex/Dimensions), (3) proposed calibrated pipeline. Metrics: deduplication precision/recall/F1; clustering stability ARI (adjusted Rand index), silhouette, modularity; clinician agreement Cohen's κ for cluster labels; proportion of clusters meeting clinical‑interpretability (κ≥0.70); evidence‑strength classification stability (Cohen's κ across weight grids); LMIC lead‑authorship % and participant LMIC %; reproducibility: successful CI runs and runnable Docker image. Evaluation procedures: (a) Run parameter sweeps for clustering algorithms (Leiden/Louvain resolution 0.5–2.0, k‑means k=3–15, LDA topics 5–30); compute median ARI across sweeps. (b) Compare proposed vs baseline pipelines: paired differences in ARI and clinician κ with bootstrap 95% CIs (n=1000 resamples). (c) Deduplication: report precision/recall on gold standard and require targets for proposed pipeline vs baseline. (d) Ablation studies: remove (i) deduplication calibration, (ii) Bayesian evidence‑strength labeling, (iii) equity metrics; measure change in cluster stability, clinician κ, and classification stability. (e) Sensitivity: quantify impact of excluding paywalled sources by re-running analyses without each source and reporting percent change in cluster membership and evidence scores. (f) Report summary tables: number of stable clusters (ARI≥0.60), proportion clinically interpretable (κ≥0.70), and LMIC representation per cluster.</w:t>
      </w:r>
    </w:p>
    <w:p>
      <w:r>
        <w:t xml:space="preserve"> </w:t>
      </w:r>
    </w:p>
    <w:p>
      <w:pPr>
        <w:pStyle w:val="Heading2"/>
      </w:pPr>
      <w:r>
        <w:t>Risk Factors And Limitations</w:t>
      </w:r>
    </w:p>
    <w:p>
      <w:r>
        <w:t>Incomplete data access: paywalled records and publisher restrictions may reduce corpus completeness and bias network measures. Language and reporting bias: poor intervention reporting or non‑English full texts may prevent TIDieR/CERT scoring. Small sample sizes: some clinical topics may have k&lt;5 or k&lt;10 studies, limiting pooling and moderator analysis. High heterogeneity: large between‑study variance may make pooled signals unreliable. Calibration overfitting: thresholds tuned on pilot data may not generalize to full corpus. Subjectivity: clinician and PPI cluster labeling may introduce human judgment variability. Computational cost: large parameter sweeps and Bayesian models require substantial compute resources. Reproducibility limits: inability to share paywalled full texts may constrain open materials. Generalizability: methods tuned to dance therapy literature may not transfer directly to other fields without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