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islam_comparative_aesthetics</w:t>
      </w:r>
    </w:p>
    <w:p>
      <w:r>
        <w:t xml:space="preserve"> </w:t>
      </w:r>
    </w:p>
    <w:p>
      <w:pPr>
        <w:pStyle w:val="Heading2"/>
      </w:pPr>
      <w:r>
        <w:t>Title</w:t>
      </w:r>
    </w:p>
    <w:p>
      <w:r>
        <w:t>Interdisciplinary comparative multimodal analysis of aesthetic comparativeness to quantify regional variations of Islamic practice in Morocco and Indonesia</w:t>
      </w:r>
    </w:p>
    <w:p>
      <w:r>
        <w:t xml:space="preserve"> </w:t>
      </w:r>
    </w:p>
    <w:p>
      <w:pPr>
        <w:pStyle w:val="Heading2"/>
      </w:pPr>
      <w:r>
        <w:t>Short Hypothesis</w:t>
      </w:r>
    </w:p>
    <w:p>
      <w:r>
        <w:t>Fine-tuning multimodal models using annotations grounded in six operations of comparativeness (analogy, hierarchical proportion, repetition/variation, contrast, mimicry, syncretic juxtaposition) will increase cross-modal retrieval@1 by at least 5 absolute percentage points and reduce HTR character error rate (CER) and ASR word error rate (WER) by at least 5 absolute percentage points compared to off-the-shelf baselines.</w:t>
      </w:r>
    </w:p>
    <w:p>
      <w:r>
        <w:t xml:space="preserve"> </w:t>
      </w:r>
    </w:p>
    <w:p>
      <w:pPr>
        <w:pStyle w:val="Heading2"/>
      </w:pPr>
      <w:r>
        <w:t>Related Work</w:t>
      </w:r>
    </w:p>
    <w:p>
      <w:r>
        <w:t>Prior work includes interpretive anthropology that frames aesthetic codes, hand-engineered and learning-based HTR/ASR systems for Arabic-script materials, and multimodal embedding methods for text-image-audio alignment. Existing computational approaches often use off-the-shelf models without hermeneutic labels, produce poor results on complex scripts (for example Nastaliq ligatures), and lack controlled power analyses and reproducible pipelines. Multimodal retrieval research has advanced contrastive and CLIP-style alignment but typically uses generic supervision and random negatives rather than curated hard negatives rooted in ethnographic categories. Annotation-centered projects in humanities have shown value of domain labels but rarely integrate statistically pre-registered hypotheses, mixed-effects inference, or community governance. Limitations: weak alignment between ethnographic categories and computational labels, insufficient script-specific normalization, limited subgroup evaluation, and sparse reproducibility artifacts (seeds, container manifests, CI pipelines).</w:t>
      </w:r>
    </w:p>
    <w:p>
      <w:r>
        <w:t xml:space="preserve"> </w:t>
      </w:r>
    </w:p>
    <w:p>
      <w:pPr>
        <w:pStyle w:val="Heading2"/>
      </w:pPr>
      <w:r>
        <w:t>Abstract</w:t>
      </w:r>
    </w:p>
    <w:p>
      <w:r>
        <w:t>This project studies how interdisciplinary comparative methods can be operationalized to measure aesthetic comparativeness in Islamic practices across Morocco and Indonesia. We combine ethnographic labels grounded in six historical operations of comparativeness with multimodal data (manuscripts, images, recordings) and computational pipelines. The core method is a pre-registered multimodal training and evaluation protocol that aligns hermeneutic annotations to model supervision, uses script-aware normalization for Arabic and related scripts, and applies mixed-effects inference to test pre-specified contrasts. Main contributions are: (1) a six-category annotation schema linked to measurable computational labels; (2) reproducible evaluation artifacts (learning curves, power simulations, baselines for HTR/ASR and embeddings); and (3) a statistical plan for nested inference with stratified bootstrap confidence intervals. Expected outcome: demonstrable, statistically supported gains in retrieval alignment and transcription accuracy when models are fine-tuned with hermeneutically informed labels, and a reusable bundle of reproducible artifacts for comparative cultural research.</w:t>
      </w:r>
    </w:p>
    <w:p>
      <w:r>
        <w:t xml:space="preserve"> </w:t>
      </w:r>
    </w:p>
    <w:p>
      <w:pPr>
        <w:pStyle w:val="Heading2"/>
      </w:pPr>
      <w:r>
        <w:t>Experiments</w:t>
      </w:r>
    </w:p>
    <w:p>
      <w:r>
        <w:t>Datasets: curated multimodal corpus from Morocco and Indonesia comprising: (a) scanned manuscript pages and images, target HTR units per script; (b) audio recordings of recitations and ritual speech, segmented to utterances; (c) aligned image-text-audio pairs for retrieval. Hold-outs: stratified 20% per epoch/modality and a 200-item philological blind test. Minimum pilot Ns (for planning): HTR per script = 250 pages (80% power), ASR = 2,000 utterances (80% power), embeddings/retrieval per site = 400 paired items (80% power). Baselines: Calamari, Transkribus, Kraken for HTR; Wav2Vec2.0 for ASR; XLM-R and LaBSE for text embeddings; ViT-B/32 with CLIP-style contrastive loss for images; off-the-shelf multimodal alignment models. Fine-tuned systems: script-aware HTR fine-tune, ASR fine-tune, contrastive multimodal fine-tune with hermeneutic labels as supervised tags. Evaluation metrics: CER (character error rate), WER (word error rate), retrieval@1 and retrieval@5, MAP (mean average precision), mAP@k, ECE (expected calibration error). Confidence intervals: stratified cluster bootstrap with 2,000 replicates. Statistical tests: hierarchical mixed-effects models with random intercepts for item and site and random slopes for epoch within site; primary contrasts use Bonferroni correction; exploratory families use Benjamini-Hochberg. Annotation: dual annotation, senior adjudicator, target Cohen's kappa &gt; 0.7 for single-label and Krippendorff's alpha for multi-label. Hard negatives: curate 5 human-verified hard negatives per positive; training negatives supplemented at 20:1 random ratio. Ablations: (1) remove hermeneutic labels during fine-tuning; (2) remove hard negatives; (3) remove script-specific normalization; (4) vary number of annotated pages/utterances per learning-curve split (10/25/50/75/100%). Reproducibility: publish seeds, container image, DVC manifests, minimal runnable example reproducing a baseline within declared GPU budget (200-400 GPU-hours on A40/RTX A5000).</w:t>
      </w:r>
    </w:p>
    <w:p>
      <w:r>
        <w:t xml:space="preserve"> </w:t>
      </w:r>
    </w:p>
    <w:p>
      <w:pPr>
        <w:pStyle w:val="Heading2"/>
      </w:pPr>
      <w:r>
        <w:t>Risk Factors And Limitations</w:t>
      </w:r>
    </w:p>
    <w:p>
      <w:r>
        <w:t>Technical failure modes: fine-tuned models may not converge or may overfit small, highly skewed cultural subsets; hard-negative mining may introduce label noise. Data and evaluation biases: sampling may underrepresent women’s vernacular arts or certain regional styles, producing biased performance estimates and incorrect cultural inferences. Script challenges: complex ligatures (Nastaliq) and diacritic variability can limit HTR accuracy and make CER comparisons across scripts unreliable. Statistical limits: ICC assumptions may be violated, reducing power; learning-curve extrapolations may misestimate variance. Scalability and compute: required GPU-hours (200-400) may be insufficient for full-scale fine-tuning; memory limits on large models for high-resolution images. Generalization: results may not transfer beyond Morocco and Indonesia or beyond the collected genres and periods. Governance and legal limits: consent tiers and jurisdictional transfer rules may restrict data sharing and reproduction of certain experiments, limiting external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