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thermalscapes_informal_shading_cuiaba</w:t>
      </w:r>
    </w:p>
    <w:p>
      <w:r>
        <w:t xml:space="preserve"> </w:t>
      </w:r>
    </w:p>
    <w:p>
      <w:pPr>
        <w:pStyle w:val="Heading2"/>
      </w:pPr>
      <w:r>
        <w:t>Title</w:t>
      </w:r>
    </w:p>
    <w:p>
      <w:r>
        <w:t>Ethnography and participatory biosensing assessment of informal shading effects on pedestrian thermal comfort in an urban retail district in Cuiabá, Brazil</w:t>
      </w:r>
    </w:p>
    <w:p>
      <w:r>
        <w:t xml:space="preserve"> </w:t>
      </w:r>
    </w:p>
    <w:p>
      <w:pPr>
        <w:pStyle w:val="Heading2"/>
      </w:pPr>
      <w:r>
        <w:t>Short Hypothesis</w:t>
      </w:r>
    </w:p>
    <w:p>
      <w:r>
        <w:t>Presence of informal shading in Cuiabá retail streets causes a reduction of mean radiant temperature (Tmrt) at pedestrian level by at least 0.5°C during peak daytime hours (11:00–15:00) compared to matched unshaded locations.</w:t>
      </w:r>
    </w:p>
    <w:p>
      <w:r>
        <w:t xml:space="preserve"> </w:t>
      </w:r>
    </w:p>
    <w:p>
      <w:pPr>
        <w:pStyle w:val="Heading2"/>
      </w:pPr>
      <w:r>
        <w:t>Related Work</w:t>
      </w:r>
    </w:p>
    <w:p>
      <w:r>
        <w:t>Existing work documents that informal shading (fabric awnings, trees, architectural overhangs) can improve thermal comfort in hot Brazilian urban centres. Methods used include site observations, microclimate sensors, thermal imaging, and modeling. Bayesian Before-After-Control-Impact (BACI) designs and mixed-effects models have been proposed for causal assessment. Surface-temperature orthomosaics from radiometric cameras require empirical-line correction and emissivity assumptions; globe thermometers often differ from flux-based mean radiant temperature (Tmrt) estimates and need validation. Prior studies lack integrated protocols that combine ethnography, participatory biosensing (wearable physiological data), principled sensor harmonization (co-location calibration and propagated uncertainty), and preregistered Bayesian measurement-error models with spatial correlation. Open limitations include: inconsistent propagation of calibration uncertainty into effect estimates, weak validation of globe-derived Tmrt against flux-based Tmrt in urban shading typologies, limited integration of local social practices in site selection, and sparse documentation of reproducible Monte Carlo error propagation.</w:t>
      </w:r>
    </w:p>
    <w:p>
      <w:r>
        <w:t xml:space="preserve"> </w:t>
      </w:r>
    </w:p>
    <w:p>
      <w:pPr>
        <w:pStyle w:val="Heading2"/>
      </w:pPr>
      <w:r>
        <w:t>Abstract</w:t>
      </w:r>
    </w:p>
    <w:p>
      <w:r>
        <w:t>Urban retail streets in hot tropical cities often host informal shading that may alter pedestrian thermal exposures. This study combines ethnography, participatory biosensing (wearable skin temperature and heart-rate proxies), and harmonized environmental sensing to quantify how informal shading affects thermal comfort in the city centre of Cuiabá, Brazil. We will use co-located calibrations of reference and fallback sensors, FLIR orthomosaic corrections, and flux-based Tmrt where available; participatory biosensing links physiological responses to microclimate measures. Analysis will follow a preregistered Bayesian BACI mixed-effects model estimating the Average Treatment Effect (ATE) of shade on Tmrt and air temperature during a pre-specified peak window (11:00–15:00), with measurement-error terms and spatial random effects. Main contributions are (1) an operational pipeline that propagates sensor calibration uncertainty into causal estimates via Monte Carlo, (2) empirical validation of globe- vs flux-based Tmrt across shade typologies, and (3) mixed-method evidence linking social shading practices to measurable thermal benefits. Expected outcomes include defensible effect estimates, uncertainty bounds for policy use, and reproducible data products.</w:t>
      </w:r>
    </w:p>
    <w:p>
      <w:r>
        <w:t xml:space="preserve"> </w:t>
      </w:r>
    </w:p>
    <w:p>
      <w:pPr>
        <w:pStyle w:val="Heading2"/>
      </w:pPr>
      <w:r>
        <w:t>Experiments</w:t>
      </w:r>
    </w:p>
    <w:p>
      <w:r>
        <w:t>Datasets: (1) Field sensor timeseries from 6–8 paired site clusters in Cuiabá covering typologies: fabric awning, tree shade, architectural shadow, mixed; each cluster includes a shaded and matched unshaded location. Sensors: primary reference (Kipp &amp; Zonen CNR4 + aspirated thermistor, reference pyranometer/pyrgeometer), fallback HOBO UX120/U23 (T/RH), 150 mm copper black globe, FLIR radiometric orthomosaics (thermal), wearable biosensors (skin temperature, heart rate), and ethnographic interview transcripts and photo-logs. Calibration: 48–72 h co-location to derive linear correction coefficients (slope, intercept) for each fallback unit; store coefficients in metadata. Validation: collect ≥100 paired globe vs flux Tmrt observations per site (total ~600–800 pairs) across varied wind and cloud conditions. Baselines: (A) matched unshaded controls, (B) flux-derived Tmrt as gold standard for radiant exposure, (C) models without calibration correction. Primary estimand: ATE on Tmrt during 11:00–15:00 (Intent-to-Treat). Statistical model: Bayesian BACI mixed-effects model with fixed Shade×Post effect (prior Normal(0,0.5)), random intercepts for site/day, optional random slopes for Shade by site, AR(1) residual with weakly informative prior, and spatial random effect (CAR or GP) evaluated in ablation. Measurement-error: include unit-level calibration bias as hierarchical parameter. Monte Carlo: 10,000 draws with fixed seed for emissivity/albedo/sensor error propagation; report MC SE and CI stability. Power sims: ICC scenarios 0.2/0.4/0.6, include sensor uncertainty and dropouts; report MDEs. Evaluation metrics: ΔTmrt and ΔTair mean and 95% credible intervals, MAE and mean bias of globe vs flux, Bland-Altman limits-of-agreement, posterior predictive checks, R-hat, ESS, WAIC or LOO for model comparison, and biosensor correlations with microclimate (Pearson/Spearman). Ablations: (1) with vs without calibration correction, (2) with vs without spatial term, (3) measurement-error included vs ignored. Reproducible outputs: code, calibration tables, and seeded Monte Carlo runs published with metadata.</w:t>
      </w:r>
    </w:p>
    <w:p>
      <w:r>
        <w:t xml:space="preserve"> </w:t>
      </w:r>
    </w:p>
    <w:p>
      <w:pPr>
        <w:pStyle w:val="Heading2"/>
      </w:pPr>
      <w:r>
        <w:t>Risk Factors And Limitations</w:t>
      </w:r>
    </w:p>
    <w:p>
      <w:r>
        <w:t>Technical failures: sensor drift, aspirator failure, logger memory/telemetry loss, and theft/vandalism can reduce usable sample and bias estimates. Measurement limitations: globe Tmrt has structural wind sensitivity and may not meet flux Tmrt accuracy in all conditions; FLIR orthomosaic accuracy depends on blackbody deployment and emissivity assumptions. Data bias: site selection or matching may leave unmeasured confounders (e.g., transient crowding, localized irrigation) that affect identifiability. Statistical limits: strong spatial or temporal autocorrelation may reduce effective sample size; modeling choices (CAR vs GP, priors) influence inference. Sample size and logistics: achieving ≥600 paired Tmrt observations and full co-locations may be constrained by weather windows, procurement lead times, or field staffing. Generalization: results from Cuiabá retail streets may not transfer to other urban morphologies or climates. Compute and reproducibility: full 10,000-draw Monte Carlo and Bayesian fits with spatial terms require nontrivial compute resources and may limit rapid iteration. Ethical and privacy limits: geoprivacy jittering reduces spatial precision of public outputs and may limit fine-scale policy recommendations.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