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spanish_wineries_resilience_ols</w:t>
      </w:r>
    </w:p>
    <w:p>
      <w:r>
        <w:t xml:space="preserve"> </w:t>
      </w:r>
    </w:p>
    <w:p>
      <w:pPr>
        <w:pStyle w:val="Heading2"/>
      </w:pPr>
      <w:r>
        <w:t>Title</w:t>
      </w:r>
    </w:p>
    <w:p>
      <w:r>
        <w:t>Ordinary least squares assessment of how internal firm attributes and perceived challenges shape robustness, adaptability, and transformability in Spanish wineries</w:t>
      </w:r>
    </w:p>
    <w:p>
      <w:r>
        <w:t xml:space="preserve"> </w:t>
      </w:r>
    </w:p>
    <w:p>
      <w:pPr>
        <w:pStyle w:val="Heading2"/>
      </w:pPr>
      <w:r>
        <w:t>Short Hypothesis</w:t>
      </w:r>
    </w:p>
    <w:p>
      <w:r>
        <w:t>Higher firm-level innovation capacity and stronger rural commitment cause greater measured adaptability and transformability following an environmental or economic shock, conditional on firm size and organizational structure.</w:t>
      </w:r>
    </w:p>
    <w:p>
      <w:r>
        <w:t xml:space="preserve"> </w:t>
      </w:r>
    </w:p>
    <w:p>
      <w:pPr>
        <w:pStyle w:val="Heading2"/>
      </w:pPr>
      <w:r>
        <w:t>Related Work</w:t>
      </w:r>
    </w:p>
    <w:p>
      <w:r>
        <w:t>Existing work on rural agro-industry resilience combines qualitative ethnography, spatial remote sensing, and econometric analysis. Recent methods emphasize (1) sensitivity to missing-not-at-random (MNAR) responses using delta-adjustments and selection models, (2) ethnography-informed directed acyclic graphs (DAGs) to map missingness mechanisms, and (3) spatial data integration for agroecological trials. Limitations remain: many studies do not pre-specify MNAR grids or propagate imputation and measurement-error uncertainty through final indexes; they often report point estimates without decomposing uncertainty from imputation, measurement error, and remote-sensing classification. Causal claims are frequently limited by weak instruments or omitted-variable bias in observational settings. Supply-chain aspects are under-corrected for measurement error. Few works publish operational decision rules (diagnostic thresholds, escalation actions) that make analyses reproducible and auditable.</w:t>
      </w:r>
    </w:p>
    <w:p>
      <w:r>
        <w:t xml:space="preserve"> </w:t>
      </w:r>
    </w:p>
    <w:p>
      <w:pPr>
        <w:pStyle w:val="Heading2"/>
      </w:pPr>
      <w:r>
        <w:t>Abstract</w:t>
      </w:r>
    </w:p>
    <w:p>
      <w:r>
        <w:t>This study analyzes how internal firm attributes (size, structure, innovation, rural commitment) interact with perceived economic, environmental, and social challenges to shape resilience capacities—robustness, adaptability, and transformability—in 411 Spanish wineries. We construct resilience sub-scores and a composite index, then estimate how these outcomes respond to shocks using ordinary least squares (OLS) models with rich controls. We pre-specify missing-data and measurement-error rules (MICE imputation, Bayesian state-space for remote sensing, SIMEX for assay bias) and run a nested Monte Carlo protocol that propagates uncertainty from imputations, measurement-error corrections, and remote sensing classification into index and coefficient estimates. We report robustness envelopes across an MNAR sensitivity grid and LATE when valid instruments are used (first-stage F&gt;10). The main contribution is an end-to-end, reproducible pipeline that quantifies how internal attributes causally relate to resilience dimensions while transparently reporting uncertainty and sensitivity. Expected outcome: clear, auditable estimates and policy-relevant guidance for rural agro-industries and policymakers.</w:t>
      </w:r>
    </w:p>
    <w:p>
      <w:r>
        <w:t xml:space="preserve"> </w:t>
      </w:r>
    </w:p>
    <w:p>
      <w:pPr>
        <w:pStyle w:val="Heading2"/>
      </w:pPr>
      <w:r>
        <w:t>Experiments</w:t>
      </w:r>
    </w:p>
    <w:p>
      <w:r>
        <w:t>Datasets: primary survey of N=411 Spanish wineries with modules on firm attributes, perceived challenges, revenues, and employment; auxiliary data: DO membership, prior-year revenues, SPEI meteorological lags, GPS coordinates, lab assay batches, Sentinel-2 derived NDVI and thermal indices. Preprocessing: winsorize continuous variables at 1st/99th percentiles, z-score normalize (winsorized z-scores). Index construction: compute absorptive (robustness), adaptive, and transformative sub-scores; aggregate into composite index using primary 50/50 blend of supervised weights (elastic-net importance; elastic-net is a penalized regression that selects predictors) and expert priors. Baselines: (A) OLS without imputation adjustments; (B) OLS with MICE (predictive-mean-matching) imputations only; (C) OLS with full nested uncertainty propagation (imputation + SIMEX + RS draws); (D) IV estimates (LATE) using lagged SPEI and distance-to-processing as instruments where valid. Models: OLS regressions of each sub-score and composite index on innovation, rural commitment, size, structure, controls, and shock exposure indicator (SPEI&lt;-1.5). Missing-data handling: MICE M=50 (reduced M=20 as sensitivity), predictive-mean-matching; MNAR grid delta ∈ {-0.5σ,-0.25σ,0,0.25σ,0.5σ} applied to key financials; pattern-mixture and Heckman selection as robustness. Measurement error: SIMEX draws K=50 for lab assays when variance component &gt;5%; RS classification draws L=50 from confusion matrices. Nested Monte Carlo: full runs use M/K/L=50; reduced runs use 20. Evaluation metrics: estimated coefficients and 95% percentile intervals, variance decomposition (sampling vs imputation vs measurement vs RS), out-of-sample RMSE for imputation (cross-validated), emulator GP MAE when used (mean absolute error), first-stage F-statistics for IV&gt;10, coverage rates in simulation tests. Ablations: (1) remove qualitative auxiliaries (ethnographic codes) and compare coefficient shifts and RMSE; (2) change index weighting blends (50/50 vs 70/30 vs supervised only) and report sensitivity envelope; (3) compare full nested Monte Carlo vs reduced runs and report emulator fidelity (GP cross-validation with held-out MNAR points). Implementation details: report exact model specifications, fixed RNG seeds, and provide reproducible scripts for MICE, SIMEX, Bayesian state-space smoothing, and elastic-net weight computation. Pre-specified diagnostics: Rhat&lt;1.1, FMI≤0.2, RMSE thresholds from pilot, GP MAE thresholds from cross-validation. Success criteria: stable sign and magnitude of primary innovation and rural-commitment coefficients across main MNAR scenarios and CI coverage ~95% in simulation.</w:t>
      </w:r>
    </w:p>
    <w:p>
      <w:r>
        <w:t xml:space="preserve"> </w:t>
      </w:r>
    </w:p>
    <w:p>
      <w:pPr>
        <w:pStyle w:val="Heading2"/>
      </w:pPr>
      <w:r>
        <w:t>Risk Factors And Limitations</w:t>
      </w:r>
    </w:p>
    <w:p>
      <w:r>
        <w:t>Technical failures: invalid instruments (weak or violating exclusion) can bias LATE; SIMEX assumptions (additive classical error) may not hold. Data biases: MNAR nonresponse concentrated in sensitive firms may exceed modeled delta grid and remain uncorrected. Measurement error: remote-sensing proxies (NDVI, thermal) may poorly map to vine stress in some DOs, causing mismeasurement in agroecological covariates. Sample size: N=411 may limit power for subgroup analyses and for emulator training; pilot sample must be large enough to estimate empirical deltas reliably. Compute and scalability: full nested M/K/L=50 runs are computationally heavy and may require HPC; emulator approximations introduce approximation error. Generalization: results from Spanish wineries may not transfer to other crops, regions, or larger agro-industries. Evaluation biases: imputation RMSE and emulator fidelity depend on auxiliary variable quality; cross-validation may be optimistic if data structure is not preserved. Causal limits: OLS remains associative unless instruments satisfy validity checks; unobserved confounding may persist despite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