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fruit_vouchers_rct</w:t>
      </w:r>
    </w:p>
    <w:p>
      <w:r>
        <w:t xml:space="preserve"> </w:t>
      </w:r>
    </w:p>
    <w:p>
      <w:pPr>
        <w:pStyle w:val="Heading2"/>
      </w:pPr>
      <w:r>
        <w:t>Title</w:t>
      </w:r>
    </w:p>
    <w:p>
      <w:r>
        <w:t>A randomized controlled trial assessing whether weekly fruit vouchers increase fruit affordability and consumption among peri-urban and urban households in Nigeria and Vietnam</w:t>
      </w:r>
    </w:p>
    <w:p>
      <w:r>
        <w:t xml:space="preserve"> </w:t>
      </w:r>
    </w:p>
    <w:p>
      <w:pPr>
        <w:pStyle w:val="Heading2"/>
      </w:pPr>
      <w:r>
        <w:t>Short Hypothesis</w:t>
      </w:r>
    </w:p>
    <w:p>
      <w:r>
        <w:t>Providing eligible peri-urban and urban households with weekly US$6 fruit vouchers for six months causes an increase in individual usual fruit intake (grams per day) at endline relative to households not offered vouchers.</w:t>
      </w:r>
    </w:p>
    <w:p>
      <w:r>
        <w:t xml:space="preserve"> </w:t>
      </w:r>
    </w:p>
    <w:p>
      <w:pPr>
        <w:pStyle w:val="Heading2"/>
      </w:pPr>
      <w:r>
        <w:t>Related Work</w:t>
      </w:r>
    </w:p>
    <w:p>
      <w:r>
        <w:t>Prior practical trials of food vouchers show mixed results: voucher programs raised fruit consumption in some contexts but failed to sustain effects in others. Common methods use randomized assignment to compare treated and control groups, dietary recalls or purchase logs to measure intake, and occasional biomarkers to validate nutritional change. Limitations in existing approaches include: weak usual-intake measurement (single 24-hour recalls with large day-to-day noise), limited validation or calibration of receipts-to-grams conversions, short follow-up windows that miss persistence, inadequate handling of supply-side responses (stockouts, price pass-through), and insufficient fraud-detection validation leading to biased redemption records. Cost-effectiveness and distributional impacts are often estimated with ad-hoc assumptions about long-term health gains, and vendor-level causal inference is rarely randomized. These gaps reduce confidence about external validity, measurement bias, and the true welfare effects of vouchers.</w:t>
      </w:r>
    </w:p>
    <w:p>
      <w:r>
        <w:t xml:space="preserve"> </w:t>
      </w:r>
    </w:p>
    <w:p>
      <w:pPr>
        <w:pStyle w:val="Heading2"/>
      </w:pPr>
      <w:r>
        <w:t>Abstract</w:t>
      </w:r>
    </w:p>
    <w:p>
      <w:r>
        <w:t>We test whether lowering effective fruit prices via weekly vouchers increases fruit affordability and consumption in peri-urban and urban households in Nigeria and Vietnam. We implement a cluster-randomized controlled trial with three arms: pooled voucher (US$6/week for six months), information-only placebo, and pure control. Primary outcome is individual usual fruit intake (grams/day) at endline; secondary outcomes include household purchases (grams/week), biomarkers (hemoglobin, CRP), vendor prices, and cost-effectiveness. A validation subsample collects 7-day receipts with weighed items and repeat 24-hour recalls to calibrate usual-intake estimates using regression-calibration. We pre-specify intention-to-treat (ITT) analysis, local average treatment effect (LATE) using assignment as an instrument for redemption, and nested vendor randomization to estimate supply responses. Main contributions are (1) rigorous validation of receipts-to-grams mapping and usual-intake estimation, (2) integrated fraud-calibrated digital voucher logs, and (3) combined demand- and supply-side causal estimates with programmatic cost-effectiveness. Expected outcome: policy-ready evidence on whether vouchers raise fruit consumption and whether effects persist post-intervention.</w:t>
      </w:r>
    </w:p>
    <w:p>
      <w:r>
        <w:t xml:space="preserve"> </w:t>
      </w:r>
    </w:p>
    <w:p>
      <w:pPr>
        <w:pStyle w:val="Heading2"/>
      </w:pPr>
      <w:r>
        <w:t>Experiments</w:t>
      </w:r>
    </w:p>
    <w:p>
      <w:r>
        <w:t>Datasets: (1) Household survey panels at baseline, endline (immediately after 6 months), and 6-month post-intervention follow-up; (2) Voucher issuance and redemption logs with timestamps, geolocation, vendor ID, SKU-level receipts; (3) Validation subsample receipts + 7-day weighed basket + three nonconsecutive 24-hour recalls per respondent (n=150 households per country, escalate per pre-specified rule); (4) Vendor price and stock panel (daily/weekly); (5) Biomarker data: point-of-care HemoCue hemoglobin (g/dL) and DBS CRP (mg/L) for sampled children &lt;5 and women of reproductive age. Randomization and arms: cluster randomization at neighborhood/market-block level, stratified by urban/peri-urban status and baseline intake tercile; three arms — pooled voucher (US$6/week), information-only placebo, pure control. Nested vendor randomization: random incentive bonus vs no-bonus with &gt;=50 vendors per arm. Candidate sample sizes (per country): 40 clusters per arm, 20 households per cluster → 2,400 households; validation subsample n=150 households; biomarker sample ~400 individuals per arm. Assumptions: attrition Nigeria 12%, Vietnam 8%, ICC range 0.01–0.03. Baselines for comparison: information-only placebo and pure control. Primary evaluation metric: mean difference in usual individual fruit intake (grams/day) at endline using NCI two-part usual-intake model with regression-calibration (NCI model estimates usual intake from repeated short-term measures; regression-calibration corrects measurement error). Secondary metrics: household fruit purchases (grams/week), redemption rate (% vouchers redeemed), vendor price per edible gram, hemoglobin (g/dL), CRP (mg/L), cost per additional portion, DALYs averted (CEA). Estimators: ITT using linear mixed models with cluster-robust standard errors; LATE via two-stage least squares instrumenting redeemed amount with assignment indicator; mixed-effects market FE panel for price pass-through; event-study for vendor incentives. Inference: adjust for stratification covariates, use Holm-Bonferroni for the primary/co-primary family and BH-FDR for secondary family. Ablation and comparisons: (A) ITT pooled voucher vs control; (B) ITT pooled voucher vs information-only placebo; (C) LATE (compliers defined as redeemed &gt;=50%) vs per-protocol (redeemed &gt;=80%) sensitivity; (D) Calibration on vs off: compare usual-intake estimates with regression-calibration (using validation sample) to uncalibrated 24-hour average estimates; (E) Fraud calibration ablation: analyses using raw redemption logs vs logs after applying pilot-calibrated fraud algorithm thresholds. Power and MDE examples (candidate): with 40 clusters/arm, 20 households/cluster, ICC=0.02 and SD=110 g/day, 80% power detects ~25 g/day (~0.3 portions/day) difference; for hemoglobin with SD=1.6 g/dL, 80% power detects ~0.45 g/dL. Pre-specified sensitivity grids will be reported for ICC 0.01–0.03 and attrition wedges.</w:t>
      </w:r>
    </w:p>
    <w:p>
      <w:r>
        <w:t xml:space="preserve"> </w:t>
      </w:r>
    </w:p>
    <w:p>
      <w:pPr>
        <w:pStyle w:val="Heading2"/>
      </w:pPr>
      <w:r>
        <w:t>Risk Factors And Limitations</w:t>
      </w:r>
    </w:p>
    <w:p>
      <w:r>
        <w:t>Measurement error: dietary recalls and receipts have within-person day-to-day variability; calibration may not remove all bias. Biomarker missingness: cold-chain failures or refusal can create non-random missing data and bias effect estimates. Fraud detection errors: false positives may suspend honest vendors; false negatives let fraud inflate redemption measures. Supply constraints: vendor stockouts or substitutions can attenuate demand effects and confound ITT estimates. Spillovers: nearby untreated households or vendors may change behavior, biasing cluster estimates. Power mis-specification: true ICC or SD larger than assumed will reduce power and increase MDE. Generalizability: results apply to peri-urban/urban settings studied and may not extend to rural or other countries. Legal/privacy limits: geolocation and vendor data restrictions may limit fraud algorithms (aggregation or jittering reduces precision). Operational risks: low voucher uptake, mobile payment failures, or delays in ethical approvals can reduce sample realized treatment and timeline adherence. No mitigation strategies are listed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