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osh_interventions_ageing_workforce</w:t>
      </w:r>
    </w:p>
    <w:p>
      <w:r>
        <w:t xml:space="preserve"> </w:t>
      </w:r>
    </w:p>
    <w:p>
      <w:pPr>
        <w:pStyle w:val="Heading2"/>
      </w:pPr>
      <w:r>
        <w:t>Title</w:t>
      </w:r>
    </w:p>
    <w:p>
      <w:r>
        <w:t>Exploratory questionnaire mapping and small-cluster inference of occupational safety and health interventions for productivity and safety in an ageing workforce</w:t>
      </w:r>
    </w:p>
    <w:p>
      <w:r>
        <w:t xml:space="preserve"> </w:t>
      </w:r>
    </w:p>
    <w:p>
      <w:pPr>
        <w:pStyle w:val="Heading2"/>
      </w:pPr>
      <w:r>
        <w:t>Short Hypothesis</w:t>
      </w:r>
    </w:p>
    <w:p>
      <w:r>
        <w:t>In workplaces with workers aged 50 and older, implementing age-tailored occupational safety and health (OSH) interventions causes a reduction in cluster-level injury rates and an increase in adjusted productivity compared with standard practice.</w:t>
      </w:r>
    </w:p>
    <w:p>
      <w:r>
        <w:t xml:space="preserve"> </w:t>
      </w:r>
    </w:p>
    <w:p>
      <w:pPr>
        <w:pStyle w:val="Heading2"/>
      </w:pPr>
      <w:r>
        <w:t>Related Work</w:t>
      </w:r>
    </w:p>
    <w:p>
      <w:r>
        <w:t>Prior work on workplace safety and productivity uses cluster-randomized trials, Bayesian generalized linear mixed models, and calibrated simulation to evaluate interventions. Researchers address overdispersion and zero inflation (many zeros) with negative-binomial and zero-inflated models and use improved stratification and operational reporting to boost external validity. Limitations remain: (1) small numbers of clusters produce unstable asymptotic inference and poor coverage; (2) rare safety events challenge standard count models and require exact or permutation-based inference; (3) many studies do not pre-specify MNAR (missing not at random) sensitivity analyses or deterministic per-protocol rules; (4) age effects and functional heterogeneity in older workers are often under-modeled, reducing relevance for ageing workforces; (5) integration of multimodal validation (wearables, video, questionnaire) and reproducible seeded simulation pipelines is not consistently applied. These gaps make it hard to draw reliable causal claims for ageing-worker populations under realistic small-cluster and rare-event conditions.</w:t>
      </w:r>
    </w:p>
    <w:p>
      <w:r>
        <w:t xml:space="preserve"> </w:t>
      </w:r>
    </w:p>
    <w:p>
      <w:pPr>
        <w:pStyle w:val="Heading2"/>
      </w:pPr>
      <w:r>
        <w:t>Abstract</w:t>
      </w:r>
    </w:p>
    <w:p>
      <w:r>
        <w:t>This study maps common occupational safety and health (OSH) interventions for ageing workforces and evaluates their effects on safety performance and productivity using an exploratory questionnaire, administrative records, and multimodal validation data. At a high level, the approach combines descriptive mapping of interventions and contextual drivers with rigorous small-cluster inference and seeded simulation grids that reflect realistic intracluster correlations, cluster-size imbalance, rare events, and zero inflation. The main contribution is an audit-ready analytic pipeline that pre-specifies primary statistics (covariate-adjusted mixed negative-binomial score/LRT), exact/randomization inference for small cluster counts, deterministic fallback rules (wild cluster bootstrap, Bayesian GLMM with weakly informative priors), and MNAR sensitivity procedures. Expected outcomes include (1) a reproducible mapping of OSH interventions and common barriers/drivers for ageing workers, (2) empirically grounded guidance on primary analysis and fallbacks under K&lt;20 clusters, and (3) interpretable effect estimates for injury rates and productivity that support DSMB decision aids and workplace policy tailored to older workers.</w:t>
      </w:r>
    </w:p>
    <w:p>
      <w:r>
        <w:t xml:space="preserve"> </w:t>
      </w:r>
    </w:p>
    <w:p>
      <w:pPr>
        <w:pStyle w:val="Heading2"/>
      </w:pPr>
      <w:r>
        <w:t>Experiments</w:t>
      </w:r>
    </w:p>
    <w:p>
      <w:r>
        <w:t>Datasets: (A) Exploratory questionnaire from N≈1,200 workers across sectors, stratified by age bands 50–54, 55–59, 60+ with cluster units = worksite or team; (B) administrative injury logs (counts per cluster, person-hours) covering 12 months pre/post; (C) productivity logs (output per productive hour) aligned to shifts; (D) wearable sensor validation sample: N=200 person-shifts and ≥200 annotated events for video ground truth. Baselines: (1) standard practice control arm (no new OSH intervention) and (2) non-age-tailored generic intervention. Evaluation metrics: primary safety = injuries per 100 FTE-years (cluster-level rate); primary productivity = adjusted output per productive hour (log scale); mediators = REBA/RULA task scores, cumulative trunk flexion minutes, pain (Nordic scale), fatigue scores, functional capacity tests (grip, sit-to-stand); sensor metrics = AUC, PPV, NPV, inter-rater kappa. Models and inference: fit mixed-effects negative binomial (NB) with offset for hours; check overdispersion and zero inflation; primary inference = covariate-adjusted likelihood-ratio or score statistic with cluster-level randomization inference (permutation) stratified by site and age band; fallbacks = wild cluster bootstrap then Bayesian GLMM (brms) with weakly informative priors if K&lt;20 or diagnostics fail. Simulation grid: K ∈ {6,8,10,12,15,18}, mean cluster size m ∈ {20,50,100}, CV ∈ {0.0,0.25,0.5,0.75}, ICC ρ ∈ {0.01,0.05,0.10,0.15,0.30,0.40}, baseline rates 5–15/100 FTE-yr and extreme rare rates, zero-inflation π ∈ {0.3,0.5,0.7,0.9}; Monte Carlo replicates 2,000–5,000; permutations ≥5,000 where feasible. Ablation studies: (A) compare analysis pipelines: NB-permutation vs NB-WCB vs Bayesian GLMM vs two-part ZINB permutation on power, Type I, bias, coverage; (B) dropage-stratified covariates: include vs exclude functional-status covariates to quantify interaction and confounding; (C) MNAR sensitivity: pattern-mixture delta vs selection-model scans. Reproducibility: fixed RNG seed (e.g., 12345), containerized R environment (sessionInfo recorded). Reporting: absolute event differences per 100 FTE-yr, NNT/NNH analogs, DSMB one-page decision tables.</w:t>
      </w:r>
    </w:p>
    <w:p>
      <w:r>
        <w:t xml:space="preserve"> </w:t>
      </w:r>
    </w:p>
    <w:p>
      <w:pPr>
        <w:pStyle w:val="Heading2"/>
      </w:pPr>
      <w:r>
        <w:t>Risk Factors And Limitations</w:t>
      </w:r>
    </w:p>
    <w:p>
      <w:r>
        <w:t>Technical failures: model non-convergence, low effective sample size in Bayesian models, and permutation spaces too small (discrete p-value granularity) can limit inference. Data issues: rare safety events and high zero inflation may yield unstable estimates; informative missingness (MNAR) and differential retirement/dropout can bias results. Measurement biases: self-report in questionnaires and sensor misclassification reduce validity. Small-cluster generalization: results with K&lt;20 may not generalize to larger or different organizational contexts. Compute and scalability: expansive simulation grids with many replicates require substantial compute time and parallel RNG controls. Interpretation limits: mediation and interaction estimates can be underpowered with few clusters; detected effects may not be causal without strong assumptions. Regulatory/ethical constraints: wearable/video opt-in and privacy rules may reduce validation sample size and introduce selection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