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circular_osh_ecosystem_expert_study</w:t>
      </w:r>
    </w:p>
    <w:p>
      <w:r>
        <w:t xml:space="preserve"> </w:t>
      </w:r>
    </w:p>
    <w:p>
      <w:pPr>
        <w:pStyle w:val="Heading2"/>
      </w:pPr>
      <w:r>
        <w:t>Title</w:t>
      </w:r>
    </w:p>
    <w:p>
      <w:r>
        <w:t>Evaluating multi-actor occupational safety and health interventions using a circular-ecosystem perspective with cross-national expert engagement and hierarchical causal modelling</w:t>
      </w:r>
    </w:p>
    <w:p>
      <w:r>
        <w:t xml:space="preserve"> </w:t>
      </w:r>
    </w:p>
    <w:p>
      <w:pPr>
        <w:pStyle w:val="Heading2"/>
      </w:pPr>
      <w:r>
        <w:t>Short Hypothesis</w:t>
      </w:r>
    </w:p>
    <w:p>
      <w:r>
        <w:t>An occupational safety and health (OSH) intervention designed using a circular-ecosystem perspective (integrating multi-actor processes, data/material flows, circular activities, value and governance across design, implementation, evaluation, follow-up) will reduce the 12-month incident rate by at least 15% (risk ratio ≤ 0.85) under intent-to-treat compared with interventions developed without the circular-ecosystem perspective.</w:t>
      </w:r>
    </w:p>
    <w:p>
      <w:r>
        <w:t xml:space="preserve"> </w:t>
      </w:r>
    </w:p>
    <w:p>
      <w:pPr>
        <w:pStyle w:val="Heading2"/>
      </w:pPr>
      <w:r>
        <w:t>Related Work</w:t>
      </w:r>
    </w:p>
    <w:p>
      <w:r>
        <w:t>Existing work addresses three relevant strands: (1) intervention evaluation using cluster trials and hierarchical models for worker injury rates; (2) network and interference methods that estimate direct and spillover effects when treatments affect linked units; (3) measurement harmonization, privacy-preserving linkage, and missing-data sensitivity methods (MI, IPW, MNAR families). Limitations: most OSH evaluations treat interventions as isolated actions and ignore multi-actor processes or circular flows; many studies do not model cross-firm subcontracting spillovers or time-varying implementation fidelity; measurement work often lacks robust cross-national harmonization and formal validation substudies; privacy-preserving linkage methods are seldom compared for bias in outcome estimation; and MNAR sensitivity elicitation is usually informal or absent. These gaps leave intervention effects vulnerable to bias from interference, misclassification, linkage error, and unmodeled attrition.</w:t>
      </w:r>
    </w:p>
    <w:p>
      <w:r>
        <w:t xml:space="preserve"> </w:t>
      </w:r>
    </w:p>
    <w:p>
      <w:pPr>
        <w:pStyle w:val="Heading2"/>
      </w:pPr>
      <w:r>
        <w:t>Abstract</w:t>
      </w:r>
    </w:p>
    <w:p>
      <w:r>
        <w:t>Workplace safety interventions are often designed and evaluated as isolated actions, yet real-world change involves multiple actors, flows of data and materials, circular activities, and governance across intervention phases. We propose a cross-national study that applies a circular-ecosystem perspective to design, implement, and evaluate OSH interventions. The approach combines qualitative expert elicitation (exploratory interviews and focus groups) to map processes and priors, with hierarchical causal modelling that estimates intent-to-treat and neighborhood (spillover) effects in clustered, subcontracting networks. Main contributions are: (a) an operational exposure mapping for up to three subcontracting tiers, (b) harmonized measurement and a validation substudy for registry outcomes, (c) formal MNAR sensitivity families elicited reproducibly, and (d) comparison of privacy-preserving linkage methods for bias and coverage. Expected outcome: a reproducible operational package (exposure maps, SAP, harmonization protocol, simulation code) that yields robust, policy-relevant estimates of intervention effects accounting for interference, measurement error, and cross-national heterogeneity. Impact: clearer guidance for designing OSH interventions that work across complex ecosystems.</w:t>
      </w:r>
    </w:p>
    <w:p>
      <w:r>
        <w:t xml:space="preserve"> </w:t>
      </w:r>
    </w:p>
    <w:p>
      <w:pPr>
        <w:pStyle w:val="Heading2"/>
      </w:pPr>
      <w:r>
        <w:t>Experiments</w:t>
      </w:r>
    </w:p>
    <w:p>
      <w:r>
        <w:t>Datasets: (1) administrative injury registries per country with ICD/OSH codes and dates; (2) firm rosters with worker person-time and treatment assignment; (3) supplier/subcontractor rosters with tier links and timestamps; (4) baseline and repeated surveys (safety climate, NOSACQ-type scales), and (5) qualitative transcripts from expert interviews and worker focus groups. Baselines: (A) standard intervention designs ignoring ecosystem framing (control baseline); (B) intervention designed with ecosystem inputs but analyzed without spillover terms; (C) pooled hierarchical model without measurement harmonization. Evaluations: primary metric = ITT effect on 12-month incident rate (cases per 1,000 worker-years) expressed as risk ratio (RR) and posterior probability Pr(RR &lt; 0.9). Secondary metrics = per-protocol RR, complier average causal effect (CACE), direct/indirect (spillover) contrasts, and subgroup RRs. Linkage metrics = precision, recall, false positive/negative rates, and bias in RR. Psychometrics = multi-group CFA ΔCFI (&lt;0.01) and reliability ω&gt;0.7. Model diagnostics = R-hat (&lt;1.1), ESS (&gt;200), posterior predictive coverage (95% interval coverage), RMSE. Experimental setup: conduct (i) simulation study varying baseline rates {1,5,20}/1000 PY, ICC {0.02,0.05,0.10}, cluster sizes, and spillover strength parameters; (ii) analysis of pilot cross-national cluster-randomized rollout (150–250 clusters per country scenarios) using Bayesian hierarchical negative-binomial models (log offset = log worker-hours) with prespecified weakly informative priors; (iii) randomization-inference permutation tests on predefined exposure mappings (binary and continuous neighborhood exposure); (iv) MNAR sensitivity grids using two families (selection δ and pattern-shift κ) with elicited ranges; (v) linkage method comparison (Bloom filter, salted hashing, differential privacy perturbation, federated meta-analysis) measuring downstream bias and coverage. Ablations: remove spillover term, remove harmonization/validation, remove MNAR sensitivity, and vary priors. Deliverables: reproducible code repository, power/MDE tables per country, validation substudy sampling plan, and linkage simulation report.</w:t>
      </w:r>
    </w:p>
    <w:p>
      <w:r>
        <w:t xml:space="preserve"> </w:t>
      </w:r>
    </w:p>
    <w:p>
      <w:pPr>
        <w:pStyle w:val="Heading2"/>
      </w:pPr>
      <w:r>
        <w:t>Risk Factors And Limitations</w:t>
      </w:r>
    </w:p>
    <w:p>
      <w:r>
        <w:t>Technical failure modes: misspecified exposure mapping or unobserved network edges may bias spillover estimates; heavy overdispersion or zero-inflation could violate negative-binomial assumptions. Data biases: registry misclassification, variable coding across countries, and non-random missingness (MNAR) can distort incidence estimates. Linkage and privacy: privacy-preserving linkage may lower precision or introduce differential bias across subgroups. Sampling and power: low baseline incidence and high ICC or strong spillovers can require impractical sample sizes. Computation and reproducibility: Bayesian hierarchical models with network random effects may be computationally intensive and sensitive to priors. Generalization limits: pooled estimates may mask important country-specific heterogeneity; findings depend on quality of cross-national harmonization and local implementation fidelity. Ethical and operational constraints: legal limits on identifiers may force federated analyses that reduce analytic flexibility and precision.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