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gender_norms_eldercare_thailand</w:t>
      </w:r>
    </w:p>
    <w:p>
      <w:r>
        <w:t xml:space="preserve"> </w:t>
      </w:r>
    </w:p>
    <w:p>
      <w:pPr>
        <w:pStyle w:val="Heading2"/>
      </w:pPr>
      <w:r>
        <w:t>Title</w:t>
      </w:r>
    </w:p>
    <w:p>
      <w:r>
        <w:t>Estimating the causal effect of social gender norms on unpaid elderly caregiving in Thailand using multilevel latent mediation models and a cluster randomized norm campaign</w:t>
      </w:r>
    </w:p>
    <w:p>
      <w:r>
        <w:t xml:space="preserve"> </w:t>
      </w:r>
    </w:p>
    <w:p>
      <w:pPr>
        <w:pStyle w:val="Heading2"/>
      </w:pPr>
      <w:r>
        <w:t>Short Hypothesis</w:t>
      </w:r>
    </w:p>
    <w:p>
      <w:r>
        <w:t>Strengthening community-level social gender norms that endorse altruistic caregiving by men causes an increase in unpaid weekly caregiving hours provided by men to elderly relatives and thereby reduces the female–male caregiving hours gap.</w:t>
      </w:r>
    </w:p>
    <w:p>
      <w:r>
        <w:t xml:space="preserve"> </w:t>
      </w:r>
    </w:p>
    <w:p>
      <w:pPr>
        <w:pStyle w:val="Heading2"/>
      </w:pPr>
      <w:r>
        <w:t>Related Work</w:t>
      </w:r>
    </w:p>
    <w:p>
      <w:r>
        <w:t>Existing work documents large gender gaps in unpaid elderly care in Thailand and uses observational causal-inference techniques (adjusted regressions, fixed effects, and some quasi-experimental designs). Common approaches rely mainly on self-reported caregiving time and single-source measures, which can produce bias from measurement error and gender-differential reporting. Prior causal work often lacks: integrated measurement-fusion that combines diaries, elder corroboration, and device data; explicit tests and corrections for measurement non-invariance (DIF) by gender; pre-specified interference/spillover estimators for community interventions; validated accelerometer rules for low-movement care tasks; and fully-specified mediation identification assumptions. Instrumental-variable and campaign-based identification efforts exist but face weak first-stage risk and limited falsification/sensitivity checks. These limitations leave unresolved whether observed gender differences reflect true behavioral gaps, reporting bias, or social-norm causal effects.</w:t>
      </w:r>
    </w:p>
    <w:p>
      <w:r>
        <w:t xml:space="preserve"> </w:t>
      </w:r>
    </w:p>
    <w:p>
      <w:pPr>
        <w:pStyle w:val="Heading2"/>
      </w:pPr>
      <w:r>
        <w:t>Abstract</w:t>
      </w:r>
    </w:p>
    <w:p>
      <w:r>
        <w:t>This study assesses whether social gender norms about altruistic caregiving causally influence unpaid care hours for elderly people in Thailand. We combine a cluster-randomized community norm campaign with a multilevel latent mediation framework that fuses three measurement sources (7-day caregiver diaries, elder corroboration, and accelerometer traces) into a latent TRUE_CARE variable. The main contribution is a preregistered, measurement-aware causal pipeline: (1) estimate average gender effects on caregiving hours; (2) decompose effects into natural indirect (via NormIndex) and direct paths using multilevel latent structural equation models; and (3) test robustness with instrumental-variable and sensitivity analyses that address interference, gender-differential measurement error (DIF), and attrition. We validate device-based care detection against video-labeled episodes and compare fusion estimators (Bayesian latent SEM, regression-calibration, SIMEX). Expected outcomes are policy-actionable estimates of how shifting norms change male caregiving and the share of gender gaps mediated by norms, with transparent uncertainty from measurement fusion and interference.</w:t>
      </w:r>
    </w:p>
    <w:p>
      <w:r>
        <w:t xml:space="preserve"> </w:t>
      </w:r>
    </w:p>
    <w:p>
      <w:pPr>
        <w:pStyle w:val="Heading2"/>
      </w:pPr>
      <w:r>
        <w:t>Experiments</w:t>
      </w:r>
    </w:p>
    <w:p>
      <w:r>
        <w:t>Datasets: primary household panel survey baseline N=3,200 older-adult households across 160 clusters (avg 20 households/cluster); expected analyzed N≈2,560 after 20% attrition; accelerometer validation subsample n≈320 (10%); clinical assessor subsample n≈640 (20%); qualitative cognitive interview sample ≈60 across regions/languages. Baselines: (A) naive OLS/GLM on self-reported CARE_HOURS_WK; (B) multilevel observed-variable models with cluster random intercepts; (C) multilevel latent SEM without DIF correction; (D) Bayesian latent SEM fusion (primary); (E) regression-calibration; (F) SIMEX. Experimental design: cluster randomized norm campaign (80 treatment clusters, 80 control clusters), buffer radius 5 km to limit spillovers; treatment manipulates descriptive and injunctive norm messages encouraging male altruistic caregiving. Primary outcomes: CARE_HOURS_WK (hours/week), CARE_PHQ9 (caregiver depression score), UNMET_ADL_COUNT (count 0-6). Secondary outcomes: SPPB, grip strength, elder hospitalization. Evaluation metrics: ATE_gender (hours), NIE and NDE (hours and proportion mediated), 95% CI and Bayesian credible intervals, first-stage F-stat for IVs, RMSE and AUC of device-based caregiving detection versus video labels, sensitivity curves (VanderWeele), partial R2 and E-values, and coverage of pooled imputations. Analysis pipeline: (1) measurement fusion to estimate latent TRUE_CARE (multilevel latent SEM with cluster random effects; explain: SEM = statistical model linking observed items to latent variables); (2) mediation estimation of NormIndex (latent mediator) via NIE/NDE with covariate adjustment and pre-specified DAG covariates; (3) IV estimation using randomized campaign as instrument and overid/weak-IV tests; (4) interference checks using partial-interference estimators and randomization inference for contagion. Ablations: compare fusion estimators (D vs E vs F), run models with and without DIF adjustments, compare cutpoint-only accelerometer mapping vs supervised ML classifier trained on video labels, and show sensitivity to winsorization caps (84 vs 112 hrs/week) and to geo-jitter magnitudes.</w:t>
      </w:r>
    </w:p>
    <w:p>
      <w:r>
        <w:t xml:space="preserve"> </w:t>
      </w:r>
    </w:p>
    <w:p>
      <w:pPr>
        <w:pStyle w:val="Heading2"/>
      </w:pPr>
      <w:r>
        <w:t>Risk Factors And Limitations</w:t>
      </w:r>
    </w:p>
    <w:p>
      <w:r>
        <w:t>Measurement error and DIF: latent fusion may still leave residual gender-differential bias if validity subsamples are small. Accelerometer limits: low-movement caregiving (feeding, bathing) may be poorly detected by cutpoints; supervised ML needs sufficient labeled episodes and reliable video coding. Weak instruments: community campaigns may have weak first-stage effects on NormIndex leading to imprecise IV estimates (monitor F-stat). Interference/spillovers: SUTVA likely violated for norm campaigns; estimates of direct vs indirect effects may be biased if spillovers cross buffers. Attrition and differential missingness: non-random dropout can bias mediation; inverse-probability or selection models rely on auxiliary predictors and correct specification. Power and subgroup analysis: subgroup Ns may be underpowered when effects are small; mediation detection depends on product a×b. Privacy/geo risks: geo-jitter reduces spatial precision and may attenuate spatial covariate effects. Computational and modeling limits: Bayesian fusion with spike-and-slab priors increases compute and may be sensitive to prior choices. Generalizability: results may not generalize beyond Thai cultural/regional contexts or to other care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