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trade_agreements_sustainable_fisheries</w:t>
      </w:r>
    </w:p>
    <w:p>
      <w:r>
        <w:t xml:space="preserve"> </w:t>
      </w:r>
    </w:p>
    <w:p>
      <w:pPr>
        <w:pStyle w:val="Heading2"/>
      </w:pPr>
      <w:r>
        <w:t>Title</w:t>
      </w:r>
    </w:p>
    <w:p>
      <w:r>
        <w:t>Estimating the causal effect of trade agreements with fisheries provisions on marine mean trophic level using difference-in-differences combined with propensity score matching</w:t>
      </w:r>
    </w:p>
    <w:p>
      <w:r>
        <w:t xml:space="preserve"> </w:t>
      </w:r>
    </w:p>
    <w:p>
      <w:pPr>
        <w:pStyle w:val="Heading2"/>
      </w:pPr>
      <w:r>
        <w:t>Short Hypothesis</w:t>
      </w:r>
    </w:p>
    <w:p>
      <w:r>
        <w:t>Countries that sign free trade agreements containing fisheries-related provisions will experience an increase in the mean trophic level (MTL) of their marine landings within five years after signing, relative to matched countries that do not sign such agreements.</w:t>
      </w:r>
    </w:p>
    <w:p>
      <w:r>
        <w:t xml:space="preserve"> </w:t>
      </w:r>
    </w:p>
    <w:p>
      <w:pPr>
        <w:pStyle w:val="Heading2"/>
      </w:pPr>
      <w:r>
        <w:t>Related Work</w:t>
      </w:r>
    </w:p>
    <w:p>
      <w:r>
        <w:t>Existing work uses econometric panel methods (difference-in-differences, event studies, synthetic control) and legal coding to study trade policy and fisheries outcomes. Common practices include propensity score matching (PSM) to reduce selection bias and staggered-DiD corrections to handle varied treatment timing. Limitations remain: (1) endogeneity from omitted drivers like market demand or concurrent domestic reforms; (2) staggered-treatment bias when simple DiD estimators are used; (3) measurement error from unobserved "dark" fishing (vessels lacking AIS/VMS), which biases catch and MTL estimates; (4) coarse legal coding that mixes clause types and misses implementation timing; (5) spatial spillovers and heterogeneous effects on small-scale fisheries (SSF) that are often unaccounted for; and (6) weak or missing instruments for causal identification. These gaps lead to uncertain causal claims and limited policy guidance.</w:t>
      </w:r>
    </w:p>
    <w:p>
      <w:r>
        <w:t xml:space="preserve"> </w:t>
      </w:r>
    </w:p>
    <w:p>
      <w:pPr>
        <w:pStyle w:val="Heading2"/>
      </w:pPr>
      <w:r>
        <w:t>Abstract</w:t>
      </w:r>
    </w:p>
    <w:p>
      <w:r>
        <w:t>This study assesses whether signing trade agreements—and specifically fisheries-related provisions within them—causes changes in the sustainability of marine fisheries, measured by mean trophic level (MTL) of landings. We combine a global MTL time series (1950–2018) with a machine-readable, clause-level dataset of environmental and fisheries provisions in trade agreements (1947–2018). The primary identification strategy is difference-in-differences (DiD) with propensity score matching (PSM) to construct comparable treated and control country cohorts, plus corrected staggered-DiD/event-study estimators for timing heterogeneity. We explicitly model unobserved fishing (the "dark fleet") with alternative priors and propagate that uncertainty into treatment estimates via multiple imputation or a joint Bayesian pipeline. Main contributions are: a preregistered causal estimand (cohort-specific average treatment effect on MTL), clause-stringency mappings that create interpretable treatment variables, and sensitivity panels for spatial spillovers and enforcement. Expected outcome: robust, policy-relevant estimates of whether and how fisheries clauses in trade agreements affect MTL, with quantified uncertainty for decision thresholds.</w:t>
      </w:r>
    </w:p>
    <w:p>
      <w:r>
        <w:t xml:space="preserve"> </w:t>
      </w:r>
    </w:p>
    <w:p>
      <w:pPr>
        <w:pStyle w:val="Heading2"/>
      </w:pPr>
      <w:r>
        <w:t>Experiments</w:t>
      </w:r>
    </w:p>
    <w:p>
      <w:r>
        <w:t>Datasets: (1) global mean trophic level (MTL) time series by country and FAO area 1950–2018; (2) machine-readable clause-level trade agreement database 1947–2018 with timing and 0–4 stringency codes; (3) enforcement and compliance metrics (patrol hours, seizures, CDS verifications); (4) vessel activity streams (AIS/VMS), fuel receipts, port manifests, genetic barcodes; (5) climate covariates (SST, chlorophyll, productivity) and standard controls (GDP per capita, fisheries employment, fleet composition). Sample: countries with at least 5 pre-treatment years and 3 post-treatment years; treatment = signing an FTA with a fisheries provision at date t0. Baselines: (A) pooled OLS with country and year fixed effects; (B) DiD without matching; (C) staggered-DiD corrected estimators (Sun &amp; Abraham; Callaway &amp; Sant’Anna); (D) synthetic control for single large-unit shocks. Primary estimator: DiD combined with PSM (nearest-neighbor caliper matching on pre-treatment covariates and trends), reporting cohort-specific ATT on MTL. Ablations: (1) remove latent dark-fleet adjustment; (2) replace clause stringency with binary treatment; (3) exclude climate controls; (4) use alternative matching methods (entropy balancing). Unobserved fishing adjustment: generate M=50 posterior imputations of true effort under three prior families (weakly informative, hierarchical, sparsity) and run DiD per draw; aggregate posterior ATT distribution. Inference: bootstrap 1,000 samples clustered by country, report 95% CI, p-values, and event-study lead/lag coefficients for window [−5,+5]. Diagnostics and robustness: balance tables, standardized mean differences, placebo outcomes (non-fish exports), spatial sensitivity using primary Conley SE radius = 200 km (industrial) and 50 km (SSF), alternative weight matrices (EEZ adjacency, stock-range overlap, port network), and falsification windows. Pre-registered MDEs: specify MDE per stratum (e.g., national MTL change of 0.03 absolute points for national-level test) and require power tables before final analysis. Reporting: cohort ATT, heterogeneity by SSF strata, probability that ATT exceeds policy thresholds.</w:t>
      </w:r>
    </w:p>
    <w:p>
      <w:r>
        <w:t xml:space="preserve"> </w:t>
      </w:r>
    </w:p>
    <w:p>
      <w:pPr>
        <w:pStyle w:val="Heading2"/>
      </w:pPr>
      <w:r>
        <w:t>Risk Factors And Limitations</w:t>
      </w:r>
    </w:p>
    <w:p>
      <w:r>
        <w:t>Measurement error in MTL due to misreporting and missing small-scale catches and dark fleet activity. Poor AIS/VMS coverage or incomplete port data may prevent reliable dark-fleet adjustment and reduce sample size. Endogeneity: simultaneous market shocks, donor programs, or domestic reforms could confound treatment effects if instruments are weak. Staggered treatment timing and heterogeneous effects can bias naive DiD estimates if corrected estimators are not applied. Spatial spillovers and cross-border fishing may violate SUTVA (no interference) assumptions. Priors and model choices for latent-fleet estimation can materially affect results; estimates will be model-dependent. Legal coding errors or ambiguous clause interpretation can misclassify treatment timing or stringency. Limited post-treatment observation windows in some countries reduce power to detect ecological responses. Generalization: results may not transfer across regions with very different enforcement capacity or ecological baselines. Ethical and legal constraints (e.g., Nagoya Protocol on genetic samples) may limit use of barcoding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