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quantify_modularity_data_quality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Evaluating how industrial data quality and management practices constrain quantification of modularity effects in product families using measurement-error corrections and structured ETL governance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structured data extraction, measurement-error correction (SIMEX or Bayesian measurement-error models), and high-quality imputation will increase out-of-sample predictive R2 for modularity effects on primary outcomes (unit cost and time-to-market) by at least 10% relative to pipelines without these interventions.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produced a variety of modularity metrics (graph community measures, coupling/cohesion indices, configurational entropy) and decision models (cost-to-serve, life-cycle assessments, and scenario simulations). Work on causal inference in product architectures has used staggered difference-in-differences (DID) and instrumental variables (IV) for policy-like rollouts. Data methods used include simple imputation, PCA for dimensionality, and ad-hoc ETL heuristics. Limitations: most approaches assume clean, well-mapped BOM/CAD and interface data; they do not account for systematic measurement error from automated extraction, they apply few or no bias-correction methods, and they lack standardized provenance or reproducible heuristics. Existing causal analyses are sensitive to weak instruments and pre-trend violations. Work that uses multiple imputation or measurement-error correction is sparse in industrial contexts and often lacks gold-standard validation, robust privacy-aware sharing, and scalable configurational sampling for variant spaces.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Quantifying how modular design choices affect outcomes such as unit cost and time-to-market is difficult in real industry settings because BOMs, CAD, and ECO logs are noisy, incomplete, and managed with varied heuristics. This project studies how data quality and data-management choices prevent reliable measurement of modularity effects, and it tests concrete technical fixes. At a high level, we combine: (1) a structured ETL and provenance specification for BOM/CAD/connector/API extraction; (2) measurement-error correction methods (SIMEX and Bayesian models) and principled imputation (MICE with MNAR sensitivity); and (3) reproducible modularity metrics (community modularity, coupling/cohesion, configurational entropy). The main contribution is an end-to-end, auditable pipeline that links realistic industrial inputs to corrected modularity estimates and causal effect estimates (staggered-DID and IV). Expected outcome: demonstrate whether and by how much data cleaning and measurement-error correction improve the reliability and precision of modularity effect estimates, and produce validated artifacts (YAML heuristics, notebooks, synthetic benchmarks) that make quantification reproducible in industry contexts.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Pilot labeled set of 200 components stratified across four industry platforms with three independent engineer labels per item (gold standard); (B) full industrial snapshots: time-stamped BOMs, CAD assembly trees, ECO logs, API/connectors, supplier data across at least 4 product families; (C) three synthetic benchmark families (automotive, laptop, industrial pump) that mirror realistic constraints. Baselines: (1) naive pipeline: direct metric extraction without measurement-error correction or structured ETL; (2) naive imputation MICE default; (3) MAI baselines: PCA, SEM, expert-weighted score. Proposed pipelines: structured-ETL + SIMEX; structured-ETL + Bayesian ME; structured-ETL + hierarchical imputation for high-cardinality fields. Evaluation metrics: out-of-sample R2 predicting primary outcomes (unit cost and time-to-market) using 5-fold cross-validation; bias and standard error of causal effect estimates (ATT) from staggered-DID and IV; first-stage F-stat for instruments; Cohen's kappa for labeling IRR; metric stability measured by permutation z-score convergence (Qz) across permutations; calibration of predictive intervals (coverage). Experimental setup: run 5-fold CV and a held-out time-slice for final evaluation; pre-register primary estimator (Callaway &amp; Sant'Anna staggered-DID) and estimand (group-time ATT). Ablations and comparisons: (i) Ablation A: vary measurement-error correction (none vs SIMEX vs Bayesian ME) and report ΔR2 and ΔATT SE; (ii) Ablation B: vary permutation budget n_perm ∈ {100, 500, 1000} and report Qz stability plots; (iii) Ablation C: test three high-cardinality supplier_id imputation strategies (grouping+target encoding with cross-validation, hierarchical Bayesian encoding, and embedding-based encoding) and compare downstream metric bias and predictive R2. Run configurational entropy sampling with constraint formalism variants (DAG vs factor graph) and compare effective sample size and R̂ convergence; report compute budgets (CPU/GPU hours) for each heavy run.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measurement-error models may not converge or may mis-specify error structure when validation subsample is too small. Data biases: labeled 200-item gold standard may not capture rare edge cases, causing biased corrections. High-cardinality fields (supplier_id) can break imputation and leak information if not encoded carefully. Scalability: large permutation and SIMEX budgets require substantial compute; some firms may not afford required runs. Constraint modeling limits: treating product constraints as DAGs can fail when mutual exclusions or cyclic dependencies exist. Causal limits: weak instruments or non-parallel trends in staggered rollouts will invalidate causal estimates. Privacy limits: truncated HMACs risk collisions for large partner sets; differential privacy (DP) may reduce utility of shared synthetic data. Generalization: results validated on selected product families may not transfer to all industries or very different engineering practices.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