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shrinkflation_japan_iv_analysis</w:t>
      </w:r>
    </w:p>
    <w:p>
      <w:r>
        <w:t xml:space="preserve"> </w:t>
      </w:r>
    </w:p>
    <w:p>
      <w:pPr>
        <w:pStyle w:val="Heading2"/>
      </w:pPr>
      <w:r>
        <w:t>Title</w:t>
      </w:r>
    </w:p>
    <w:p>
      <w:r>
        <w:t>Causal estimation of firm-level shrinkflation responses to import-cost shocks in Japan using instrumental variables with scanner and survey linkage</w:t>
      </w:r>
    </w:p>
    <w:p>
      <w:r>
        <w:t xml:space="preserve"> </w:t>
      </w:r>
    </w:p>
    <w:p>
      <w:pPr>
        <w:pStyle w:val="Heading2"/>
      </w:pPr>
      <w:r>
        <w:t>Short Hypothesis</w:t>
      </w:r>
    </w:p>
    <w:p>
      <w:r>
        <w:t>Exogenous increases in product-level import-cost exposure cause firms in Japan to reduce net package quantity (shrinkflation) rather than increase unit prices, raising the probability of permanent shrink events.</w:t>
      </w:r>
    </w:p>
    <w:p>
      <w:r>
        <w:t xml:space="preserve"> </w:t>
      </w:r>
    </w:p>
    <w:p>
      <w:pPr>
        <w:pStyle w:val="Heading2"/>
      </w:pPr>
      <w:r>
        <w:t>Related Work</w:t>
      </w:r>
    </w:p>
    <w:p>
      <w:r>
        <w:t>Existing work documents shrinkflation episodes and highlights measurement challenges for price statistics and consumer welfare. Econometric studies on price responses to cost shocks use difference-in-differences (DiD) and instrumental-variables (IV) methods to address endogeneity, while recent advances apply machine learning (e.g., Double Machine Learning) for flexible controls. Limitations in prior work include weak or unclearly justified instruments, limited validation of shrink detection in scanner data, inadequate propagation of misclassification uncertainty into aggregate CPI bias, insufficient supply-side calibration (firm cost and retooling frictions), and sparse integration of survey-based willingness-to-pay (WTP) evidence. Small-sample and few-cluster inference (few countries or shocks) is often under-addressed. Prior methods therefore leave unresolved causal identification under realistic measurement error and the mapping from individual behavior to aggregate CPI bias.</w:t>
      </w:r>
    </w:p>
    <w:p>
      <w:r>
        <w:t xml:space="preserve"> </w:t>
      </w:r>
    </w:p>
    <w:p>
      <w:pPr>
        <w:pStyle w:val="Heading2"/>
      </w:pPr>
      <w:r>
        <w:t>Abstract</w:t>
      </w:r>
    </w:p>
    <w:p>
      <w:r>
        <w:t>This study estimates the causal effect of import-cost shocks on firm-level shrinkflation in Japan and quantifies resulting bias in consumer price measures. We combine retailer scanner panels with GTIN metadata, customs/HS maps, global commodity/packaging/freight indices, supplier-country NDVI shocks, a stratified manual validation of shrink events, household surveys with incentivized WTP tasks, and supply-chain interviews. Identification uses product×retailer×month fixed-effect panels and IV strategies: (1) freight/port-disruption shocks interacted with pre-sample import intensity, and (2) supplier-country NDVI/agricultural shocks weighted by input origin. We pre-register misclassification models (sensitivity/specificity) and report corrected estimates plus worst-case bounds. Estimators include event-study DiD, IV with weak-instrument robust inference (LIML, Anderson–Rubin), local projections for dynamics, and calibration to firm-elasticities from interviews. The main contribution is a reproducible causal chain from input shocks to shrink incidence, consumer detection and WTP, and aggregate CPI bias with uncertainty. Expected outcomes are robust causal estimates, validated detection protocols, and calibrated policy-relevant bounds on hidden inflation.</w:t>
      </w:r>
    </w:p>
    <w:p>
      <w:r>
        <w:t xml:space="preserve"> </w:t>
      </w:r>
    </w:p>
    <w:p>
      <w:pPr>
        <w:pStyle w:val="Heading2"/>
      </w:pPr>
      <w:r>
        <w:t>Experiments</w:t>
      </w:r>
    </w:p>
    <w:p>
      <w:r>
        <w:t>Datasets: (a) monthly scanner panel of packaged goods (product_id, retailer_id, GTIN, nominal_price, net_quantity, promo_flags) for Japan and two comparator countries; primary source IRI/Nielsen, fallback web-scrapes and e-receipt panels; (b) GTIN metadata and archived product images; (c) customs HS-to-supplier-country flows and input-origin shares; (d) global commodity and packaging price indices, container-freight index, and event indicators (Suez, port strikes); (e) supplier-country NDVI and precipitation time series; (f) household survey N=3,000 in Japan with DCE/BDM modules and scanner-linkage consent; (g) supply-side interviews N=15-30. Baselines: naive OLS on log net-quantity, DiD/event-study without IV, IV using commodity_index×import_intensity, IV using freight spikes or NDVI shocks, and machine-learning adjusted DiD (Double ML) as robustness. Weak-IV-robust estimators: LIML, Fuller, and Anderson–Rubin (AR) confidence sets. Measurement baselines: uncorrected shrink_flag vs misclassification-corrected prevalence, and errors-in-variables corrected continuous quantity. Metrics: primary — coefficient on log net-quantity (elasticity) and change in probability of permanent shrink event; secondary — log unit-price response, estimated CPI bias (percentage points), first-stage partial R2 and Staiger–Stock diagnostics, first-stage F and AR p-values, precision/recall and Cohen’s kappa for shrink detection, WTP per gram and aggregate surplus loss, and confidence-interval coverage for bounds. Experimental setup: construct panel with product×retailer×month fixed effects; run event-study with leads/lags and pre-trend tests; first-stage regressions of input-exposure on instruments; IV second-stage for net-quantity and shrink probability; local projections for dynamic IRFs up to 12 months. Validation experiment: stratified manual adjudication sample target N≈1,500 across 6 strata (staple/non-staple × retailer type × match_confidence) to estimate sensitivity/specificity and ROC curves; calibrate fuzzy-match and OCR thresholds from pilot (produce ROC and choose threshold maximizing F1 or target specificity). Survey experiment: incentivized BDM/second-price tasks and DCE to elicit WTP; link to scanner data for revealed-preference checks. Ablation studies: (A) alternative exposure constructions (different input-weighting, multi-origin rules); (B) persistence rules for permanent shrink (&gt;=1, &gt;=3, &gt;=6 months); (C) alternate auto-flag thresholds (net-quantity change 1%, 2%, 5%); (D) estimator comparison OLS vs IV vs LIML/AR; (E) misclassification corrections (binary correction vs SIMEX for continuous) and reporting of Manski-style worst-case bounds. Inference variations: product×retailer clustering, wild-cluster bootstrap, permutation inference at country-shock level, and reporting of Conley plausibly-exogenous intervals.</w:t>
      </w:r>
    </w:p>
    <w:p>
      <w:r>
        <w:t xml:space="preserve"> </w:t>
      </w:r>
    </w:p>
    <w:p>
      <w:pPr>
        <w:pStyle w:val="Heading2"/>
      </w:pPr>
      <w:r>
        <w:t>Risk Factors And Limitations</w:t>
      </w:r>
    </w:p>
    <w:p>
      <w:r>
        <w:t>Weak instruments: freight or NDVI instruments may have low partial R2, reducing precision and causing weak-instrument bias. Exclusion restriction violations: instruments might affect demand or promotions (forbidden channel) rather than only input costs, invalidating IV assumptions. Measurement error: GTIN mismatches, OCR mistakes, and multi-origin HS mapping can misclassify shrink events and attenuate estimates. Validation sampling risks: nonresponse and cluster correlation increase required sample size; inter-rater disagreement can limit sensitivity/specificity. Selection bias in linked surveys: scanner-link consent may not be random, biasing WTP mapping. Small-cluster inference: few large shocks or countries limit reliable standard errors; permutation inference may have low power. Supply-side interview bias: respondents may misreport costs or detection probabilities, producing priors that are not representative. Legal/privacy constraints: data sharing restrictions may prevent public release of detailed GTIN/images. Generalizability: results apply to packaged consumer goods in Japan and may not extend to services, informal products, or other countries with different labeling norms. Compute and scalability: Monte Carlo propagation, SIMEX, and large-panel IVs require substantial compute and careful reproducibility pipelines (cloud/Docker).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