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unequal_age_household_cee</w:t>
      </w:r>
    </w:p>
    <w:p>
      <w:r>
        <w:t xml:space="preserve"> </w:t>
      </w:r>
    </w:p>
    <w:p>
      <w:pPr>
        <w:pStyle w:val="Heading2"/>
      </w:pPr>
      <w:r>
        <w:t>Title</w:t>
      </w:r>
    </w:p>
    <w:p>
      <w:r>
        <w:t>Nested Monte Carlo microsimulation with small-area Bayesian smoothing to quantify how demographic aging and household type affect income inequality in Central and Eastern Europe</w:t>
      </w:r>
    </w:p>
    <w:p>
      <w:r>
        <w:t xml:space="preserve"> </w:t>
      </w:r>
    </w:p>
    <w:p>
      <w:pPr>
        <w:pStyle w:val="Heading2"/>
      </w:pPr>
      <w:r>
        <w:t>Short Hypothesis</w:t>
      </w:r>
    </w:p>
    <w:p>
      <w:r>
        <w:t>An increase in the share of elderly-headed households causes a larger rise in elderly income inequality in liberal post-socialist states than in corporatist post-socialist states between 2005 and 2022.</w:t>
      </w:r>
    </w:p>
    <w:p>
      <w:r>
        <w:t xml:space="preserve"> </w:t>
      </w:r>
    </w:p>
    <w:p>
      <w:pPr>
        <w:pStyle w:val="Heading2"/>
      </w:pPr>
      <w:r>
        <w:t>Related Work</w:t>
      </w:r>
    </w:p>
    <w:p>
      <w:r>
        <w:t>Existing work uses microdata (survey and administrative) and microsimulation to study aging, pensions and inequality, and applies imputation and small-area models to fill data gaps. Common approaches treat missing values as MAR (missing at random) and use single or limited multiple imputation draws, run deterministic microsimulations, and report point estimates or simple bootstrapped variances. Small-area smoothing often uses hierarchical spatial models but is frequently applied as a separate post-step rather than integrated with person-level imputation. Sensitivity to MNAR (missing not at random) reporting, within-household transfer allocation rules, and joint propagation of multiple uncertainty sources (survey design, imputation, demographic projection, microsim stochasticity, small-area posterior draws) is limited. Emulators (surrogate models) and global sensitivity (Sobol) analyses are underused for computationally expensive policy grids. These gaps limit credible uncertainty quantification and cross-country welfare-typology comparisons.</w:t>
      </w:r>
    </w:p>
    <w:p>
      <w:r>
        <w:t xml:space="preserve"> </w:t>
      </w:r>
    </w:p>
    <w:p>
      <w:pPr>
        <w:pStyle w:val="Heading2"/>
      </w:pPr>
      <w:r>
        <w:t>Abstract</w:t>
      </w:r>
    </w:p>
    <w:p>
      <w:r>
        <w:t>We study how demographic aging and household type shape income inequality across age groups in Central and Eastern Europe (CEE) from 2005 to 2022. Using harmonized EU-SILC microdata, auxiliary SHARE and census inputs, and administrative aggregates where available, we implement a nested Monte Carlo microsimulation that jointly propagates uncertainty from survey resampling, multiple imputation (MAR plus MNAR variants), demographic projection draws, microsimulation stochasticity, and small-area posterior draws. We integrate within-household private-transfer allocation as a categorical uncertainty factor and apply BYM2 spatial smoothing with RW2 age structure to stabilize sparse cells. For computationally costly sensitivity analysis we train scalable emulators (Gaussian process primary, BART/RF backup) on Latin-hypercube parameter designs and compute Sobol global sensitivity indices. The main contribution is an uncertainty-aware pipeline that yields interval estimates for distributional (Gini, Atkinson, P20, elderly poverty by household type) and fiscal metrics, and compares outcomes by liberal versus corporatist post-socialist welfare typologies. Expected outcome: defensible, reproducible estimates of how aging interacts with household structure to drive inequality in CEE.</w:t>
      </w:r>
    </w:p>
    <w:p>
      <w:r>
        <w:t xml:space="preserve"> </w:t>
      </w:r>
    </w:p>
    <w:p>
      <w:pPr>
        <w:pStyle w:val="Heading2"/>
      </w:pPr>
      <w:r>
        <w:t>Experiments</w:t>
      </w:r>
    </w:p>
    <w:p>
      <w:r>
        <w:t>Datasets: EU-SILC microdata for CEE countries in 2005 and 2022 (person/household files), SHARE transfer modules, national census small-area covariates, and administrative aggregates for pensions and taxes where available. Baselines: (A) single-imputation microsim without nested MC; (B) multiple imputation under MAR only with post-stratified small-area estimates; (C) fixed per-capita transfer allocation. Proposed pipeline: nested Monte Carlo with discrete draws per iteration: survey bootstrap/resample, one MI draw (MICE PMM) or one MNAR variant (selection, pattern-mixture delta, likelihood-penalized), one demographic projection draw, one microsim stochastic seed, and one small-area posterior draw. Iterations: Poland MVP = 200 iterations; full runs = 1,000 iterations. Small-area model: BYM2 spatial random effects + RW2 age smoothing; explain BYM2 as a spatial model that borrows strength across neighboring areas and RW2 as smooth age trend. Emulators: Latin-hypercube design over behavioural parameters (labour-supply elasticity 0.3–0.7, retirement elasticity 0.1–0.4, leaving-home rate 0.005–0.03); train GP on 2,000 pilot runs (production 5,000) with BART/RF backups. Sensitivity: compute Saltelli Sobol indices (first-order and total) using emulator draws. Ablation studies: (1) remove MNAR variants to test sensitivity to missingness; (2) run without joint small-area draws (post-stratification only) to test integration benefit; (3) swap GP for BART/RF to test emulator choice. Evaluation metrics: distributional—Gini, S80/S20, Atkinson (ε=0.5,1,2), P20, elderly poverty rates by household type with 90% CI coverage; fiscal—percent error of total pension outlays vs admin totals (target tolerance 1–3%), present value of policy changes (20/40 year horizons); small-area—LOO RMSE and 90% posterior interval coverage; emulator—RMSE &lt;0.1×SD of outcome and 90–95% predictive coverage; identification diagnostics—first-stage F, partial R^2, balance tests and falsification checks for any exclusion instruments used in selection models. Reproducibility: seeded runs, persisted provenance, and containerized code. Privacy: report k-cell counts and disclosure thresholds used in outputs.</w:t>
      </w:r>
    </w:p>
    <w:p>
      <w:r>
        <w:t xml:space="preserve"> </w:t>
      </w:r>
    </w:p>
    <w:p>
      <w:pPr>
        <w:pStyle w:val="Heading2"/>
      </w:pPr>
      <w:r>
        <w:t>Risk Factors And Limitations</w:t>
      </w:r>
    </w:p>
    <w:p>
      <w:r>
        <w:t>Weak or invalid exclusion instruments for selection models may invalidate MNAR selection estimates. MNAR calibration (delta grid) may not reflect true reporting bias if administrative coverage or validation samples are limited. Gaussian process emulators scale O(n^3) and may be infeasible for &gt;5k training runs without sparse/inducing approximations; fallback emulators (BART/RF) have different bias-variance trade-offs. Complex survey design (weights, stratification, clustering) complicates variance propagation and may be mishandled, biasing intervals. Administrative linkage delays or refusals will force calibration to aggregates, increasing structural uncertainty. Small-area cells with very low counts raise statistical instability and disclosure risk; pooling thresholds (e.g., k=10) balance power and privacy but may remove local detail. Computational cost for full nested MC with emulation and Sobol may exceed available resources. Results may not generalize beyond CEE welfare contexts or to non-surveyed subpopulations. Public release of microdata or fine-grained maps poses privacy risks and requires strict DP budgeting, which reduces utility as epsilon tightens.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