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organic_fieldday_selection_adjustment</w:t>
      </w:r>
    </w:p>
    <w:p>
      <w:r>
        <w:t xml:space="preserve"> </w:t>
      </w:r>
    </w:p>
    <w:p>
      <w:pPr>
        <w:pStyle w:val="Heading2"/>
      </w:pPr>
      <w:r>
        <w:t>Title</w:t>
      </w:r>
    </w:p>
    <w:p>
      <w:r>
        <w:t>Evaluation of selection‑adjustment methods for venue‑based organic farming surveys to estimate national stakeholder acceptance and development potential in Germany</w:t>
      </w:r>
    </w:p>
    <w:p>
      <w:r>
        <w:t xml:space="preserve"> </w:t>
      </w:r>
    </w:p>
    <w:p>
      <w:pPr>
        <w:pStyle w:val="Heading2"/>
      </w:pPr>
      <w:r>
        <w:t>Short Hypothesis</w:t>
      </w:r>
    </w:p>
    <w:p>
      <w:r>
        <w:t>Applying a doubly robust selection‑adjustment procedure combined with multilevel regression and poststratification (MRP) will produce lower mean squared error (MSE) estimates of adoption and acceptance outcomes, relative to unweighted, inverse‑probability weighting (IPW), entropy balancing, or calibration alone, when benchmarked against registry‑linked validation data from certified organic farms.</w:t>
      </w:r>
    </w:p>
    <w:p>
      <w:r>
        <w:t xml:space="preserve"> </w:t>
      </w:r>
    </w:p>
    <w:p>
      <w:pPr>
        <w:pStyle w:val="Heading2"/>
      </w:pPr>
      <w:r>
        <w:t>Related Work</w:t>
      </w:r>
    </w:p>
    <w:p>
      <w:r>
        <w:t>Existing work on non‑probability survey adjustment centers on a few classes of methods: propensity‑based inverse‑probability weighting (IPW) that models selection probability; calibration and raking that adjust sample margins to known population totals; entropy balancing which reweights to match moments while minimizing weight distortion; multilevel regression and poststratification (MRP) which models outcomes by small area and reweights to population cells; and doubly robust estimators (AIPW/TMLE) which combine outcome models with selection models so consistency holds if either model is correct. Prior applications show practical gains but also limitations: heavy reliance on a rich set of auxiliary variables, instability when overlap between sample and target population is poor, ad‑hoc trimming rules that lack formal justification, and weak propagation of uncertainty from weighting and imputation steps. Missing‑data approaches (single‑level multiple imputation, multilevel joint MI) are used but often omit MNAR (missing not at random) sensitivity. Empirical agricultural studies rarely compare this full suite systematically with registry benchmarks or provide prespecified decision rules for choosing methods.</w:t>
      </w:r>
    </w:p>
    <w:p>
      <w:r>
        <w:t xml:space="preserve"> </w:t>
      </w:r>
    </w:p>
    <w:p>
      <w:pPr>
        <w:pStyle w:val="Heading2"/>
      </w:pPr>
      <w:r>
        <w:t>Abstract</w:t>
      </w:r>
    </w:p>
    <w:p>
      <w:r>
        <w:t>We address biased inference from venue‑based surveys of organic farming stakeholders by systematically comparing selection‑adjustment methods and prespecifying decision rules for operational use. Using a field‑day survey of German organic farmers and registry margins from certification bodies and FADN, we combine Monte‑Carlo hierarchical simulations with an empirical validation sample to evaluate unweighted, IPW (propensity weights), entropy balancing, calibration/raking, multilevel regression and poststratification (MRP), and doubly robust estimators (augmented IPW / targeted maximum likelihood). Simulations vary effect sizes (5%, 10%, 15%), cluster structure, overlap, and missingness mechanisms (MCAR/MAR/MNAR). The main contribution is a reproducible pipeline that quantifies bias, variance, coverage, and effective sample size for each method, defines trimming and diagnostics tied to formal thresholds, and produces clear rules about when to prefer weighting, model‑based MRP, or restrictions. Expected outcomes are method rankings, sensitivity diagnostics, and open code and environment files that enable defensible national‑level estimates of acceptance and development potential for organic innovations.</w:t>
      </w:r>
    </w:p>
    <w:p>
      <w:r>
        <w:t xml:space="preserve"> </w:t>
      </w:r>
    </w:p>
    <w:p>
      <w:pPr>
        <w:pStyle w:val="Heading2"/>
      </w:pPr>
      <w:r>
        <w:t>Experiments</w:t>
      </w:r>
    </w:p>
    <w:p>
      <w:r>
        <w:t>Datasets: (1) Field‑day survey: n ≈ 2,000 respondents collected at German organic field days across 8 agro‑regions; variables: adoption indicators (binary), perceived importance (Likert/continuous), farm covariates (farm_size_band, main_enterprise, certification_date, operator_age/sex), paradata (event_id, timestamp, interviewer_id), and item missingness patterns. (2) Population margins: certification registry extracts by NUTS2×farm_size×enterprise and FADN aggregate bands. (3) Validation sample: registry‑drawn probability sample of certified farms n ≈ 500 with identical questionnaires and measured outcomes (benchmark). Baselines: unweighted estimates; IPW using logistic propensity; entropy balancing; calibration/raking (GREG); MRP (multilevel model + poststratify); doubly robust estimators (AIPW and TMLE). Evaluation metrics: bias (mean estimate difference vs validation benchmark), mean squared error (MSE), root mean squared error (RMSE), 95% CI coverage, design effect, effective sample size neff = (Σw)^2/Σw^2, standardized mean differences (SMD) for margins, AUC and calibration slope for propensity. Monte‑Carlo simulation setup: 1,000 draws per scenario; vary true effect sizes (5%,10%,15%), cluster ICC ∈ {0.10,0.25,0.40}, cluster size heterogeneity (equal, Pareto skew), missingness: MCAR, MAR (dependent on observed auxiliaries), MNAR (selection on unobserved latent factor) implemented via selection model; simulate nonresponse rates 10%–40%. Experimental pipeline: (A) apply each method to raw and multiple‑imputed (jomo and mice) datasets; (B) run trimming variants (no trim, 2×,5×,10× median bounds) and record diagnostics; (C) ablation studies: remove calibration step from IPW; remove propensity from doubly robust estimator; evaluate MRP with and without auxiliary cell collapse; compare MI strategies (jomo vs mice) and m ∈ {30,50}. Report metrics across sims and on empirical data vs validation sample. Reproducibility: provide R scripts, renv lockfile, and unit tests for weighting, MRP poststratification and TMLE implementations.</w:t>
      </w:r>
    </w:p>
    <w:p>
      <w:r>
        <w:t xml:space="preserve"> </w:t>
      </w:r>
    </w:p>
    <w:p>
      <w:pPr>
        <w:pStyle w:val="Heading2"/>
      </w:pPr>
      <w:r>
        <w:t>Risk Factors And Limitations</w:t>
      </w:r>
    </w:p>
    <w:p>
      <w:r>
        <w:t>1) Poor overlap: if field‑day respondents differ strongly from the target population on unobserved factors, weights and models can be unstable and bias may remain. 2) Limited auxiliaries: absence of key population covariates in registry margins reduces adjustment ability and increases model dependence. 3) MNAR missingness: selection not explained by observed variables can invalidate MAR‑based MI and weighting; sensitivity to MNAR may remain large. 4) Small validation sample: registry‑linked probability sample too small to precisely benchmark low‑prevalence outcomes. 5) Weight instability: extreme weights may inflate design effect and reduce neff; trimming decisions may trade bias for variance unpredictably. 6) Model dependence: MRP and doubly robust estimators rely on correct model specification for validity; misspecification harms performance. 7) Computational burden: TMLE, MRP and large simulations require substantial compute and may limit rapid iteration. 8) Generalization: results apply primarily to certified organic farms in Germany and may not transfer to other countries or non‑certified farmers. 9) Measurement error: self‑reported outcomes and lab conversion uncertainty (e.g., Olsen↔Mehlich) add extra variance not fully corrected by weighting.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