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e_waste_cf_dismantling_cn</w:t>
      </w:r>
    </w:p>
    <w:p>
      <w:r>
        <w:t xml:space="preserve"> </w:t>
      </w:r>
    </w:p>
    <w:p>
      <w:pPr>
        <w:pStyle w:val="Heading2"/>
      </w:pPr>
      <w:r>
        <w:t>Title</w:t>
      </w:r>
    </w:p>
    <w:p>
      <w:r>
        <w:t>Field-based carbon footprint accounting linking daily electricity consumption to dismantling volumes in China's e-waste dismantling process</w:t>
      </w:r>
    </w:p>
    <w:p>
      <w:r>
        <w:t xml:space="preserve"> </w:t>
      </w:r>
    </w:p>
    <w:p>
      <w:pPr>
        <w:pStyle w:val="Heading2"/>
      </w:pPr>
      <w:r>
        <w:t>Short Hypothesis</w:t>
      </w:r>
    </w:p>
    <w:p>
      <w:r>
        <w:t>Accounting that links facility-level daily electricity consumption to daily dismantling volumes produces carbon footprint estimates with lower bias and narrower uncertainty than methods that allocate electricity by monthly or annual averages.</w:t>
      </w:r>
    </w:p>
    <w:p>
      <w:r>
        <w:t xml:space="preserve"> </w:t>
      </w:r>
    </w:p>
    <w:p>
      <w:pPr>
        <w:pStyle w:val="Heading2"/>
      </w:pPr>
      <w:r>
        <w:t>Related Work</w:t>
      </w:r>
    </w:p>
    <w:p>
      <w:r>
        <w:t>Existing work on e-waste carbon accounting uses life cycle assessment (LCA) databases and literature emission factors or uses coarse facility averages for energy allocation. Process-based LCAs and national inventories provide cradle EFs for metals and grid electricity but typically allocate electricity by annual or monthly throughput, which masks daily operational variability. Field studies have measured emissions for open burning and acid baths but are limited in temporal matching to throughput and in sample size. Allocation of recovered materials is inconsistent across studies (system expansion, mass or economic allocation), producing large differences in avoided credits. Prior uncertainty analyses focus on parameter spread but rarely include correlated uncertainties or structural scenario alternatives (e.g., delayed substitution). Limitations are coarse temporal resolution, sparse field EFs tied to real throughput, inconsistent allocation rules, and weak treatment of correlation and structural uncertainty.</w:t>
      </w:r>
    </w:p>
    <w:p>
      <w:r>
        <w:t xml:space="preserve"> </w:t>
      </w:r>
    </w:p>
    <w:p>
      <w:pPr>
        <w:pStyle w:val="Heading2"/>
      </w:pPr>
      <w:r>
        <w:t>Abstract</w:t>
      </w:r>
    </w:p>
    <w:p>
      <w:r>
        <w:t>We present a field-based accounting method that links daily facility electricity consumption to daily dismantling volumes to produce a high-resolution carbon inventory for e-waste dismantling in China. The method combines stratified field sampling of dismantling sites, tracer-based emission factors for open burning and acid baths, per-device mass-flow logs, and China-specific LCA databases to calculate per-tonne and daily greenhouse gas (GHG) footprints. Main contributions are: (1) a protocol to match metered daily electricity use with measured daily dismantling mass to derive electricity-related GHGs at operational time scales; (2) an empirical comparison of allocation rules (system expansion, mass, economic) on recovered-material credits; and (3) uncertainty propagation using Latin Hypercube Monte Carlo with explicit correlation models. Expected outcomes are a reproducible inventory with narrower uncertainty and better sensitivity to operational changes, plus tested SOPs and datasets to inform policy on emissions reduction and more accurate national reporting.</w:t>
      </w:r>
    </w:p>
    <w:p>
      <w:r>
        <w:t xml:space="preserve"> </w:t>
      </w:r>
    </w:p>
    <w:p>
      <w:pPr>
        <w:pStyle w:val="Heading2"/>
      </w:pPr>
      <w:r>
        <w:t>Experiments</w:t>
      </w:r>
    </w:p>
    <w:p>
      <w:r>
        <w:t>Datasets: (a) Pilot: 2 sites (1 informal backyard, 1 formal facility) with 8 operational days each; (b) Full: 20 stratified sites (4 strata ×5 sites) with two seasonal campaigns and 8 operational days per site (~320 site-days); (c) facility daily electricity meter logs (kWh/day), device-level throughput logs (kg/day), tracer flux measurements (SF6 or CO2+CRDS) for open burns, hood capture for acid baths, high-volume PM filters, SMPS/OPS particle counts, and lab analyses (ICP-MS for metals, GC-MS/TD for organics) from CNAS/ISO17025 labs; (d) China LCA DB (CLCD), ecoinvent region-mapped processes, and MEIC provincial grid factors. Baselines: (1) conventional allocation using monthly-average electricity per tonne; (2) literature EF approach (no tracer linkage); (3) facility-average energy intensity LCA. Evaluation metrics: bias and MAPE (mean absolute percent error) of daily and per-tonne GHG estimates vs tracer+meter truth; RMSE; 95% CI coverage (calibration of uncertainty intervals); power to detect 20% change in mean EF (80% target); change in recovered-material credits (tCO2e/t product) across allocation rules; DALYs per tonne from measured exposures; computational reproducibility (containerized runs, fixed random seeds). Experimental setup: apply stratified probability sampling, pre-specified sample sizes from power workbook using DE = 1 + (m-1)·ICC (m = days/site), run Monte Carlo Latin Hypercube 10,000 draws (fixed seed) with lognormal/normal/beta/Dirichlet distributions and empirical or copula-modeled correlations, and compute LCA results with GWP100 (IPCC AR6 default) and sensitivity to GWP20. Ablation studies: (A) remove daily electricity-to-volume linkage (replace with monthly average) to measure added value; (B) replace tracer-based emission factors with literature EFs; (C) compare system expansion vs mass vs economic allocation for recovered materials. Report per-stratum and aggregated metrics, uncertainty decompositions (Sobol indices), and policy-relevant summaries (daily operational hotspots and per-tonne emissions).</w:t>
      </w:r>
    </w:p>
    <w:p>
      <w:r>
        <w:t xml:space="preserve"> </w:t>
      </w:r>
    </w:p>
    <w:p>
      <w:pPr>
        <w:pStyle w:val="Heading2"/>
      </w:pPr>
      <w:r>
        <w:t>Risk Factors And Limitations</w:t>
      </w:r>
    </w:p>
    <w:p>
      <w:r>
        <w:t>1) Measurement failure modes: tracer release can be noisy or non-permitted (SF6 has very high GWP and may be restricted), tracer signal loss yields invalid fluxes; (SF6 is a tracer gas; high GWP means it contributes to climate change if released). 2) Lab LOQs: CNAS/ISO17025 labs may not meet target LOQs for some metals/VOCs at feasible sample volumes; resulting censored data biases EFs. 3) Sampling frame bias: incomplete lists for informal sites and reliance on snowballing can generate non-probability samples and limit representativeness. 4) ICC mis-specification: prior intraclass correlation (ICC) may be wrong, producing underpowered design; pilot must update ICC. 5) Ethical/legal constraints: participant consent limits and Chinese data rules (e.g., PIPL) may restrict sharing identifiable data. 6) Structural model uncertainty: allocation rules and marginal supplier assumptions create large, non-parametric uncertainty that parameter MC cannot capture. 7) Correlation misspecification: wrong covariance priors (metal contents, recovery fractions) can bias uncertainty attribution. 8) Generalization limits: results from sampled provinces and facility types may not transfer nationally due to different technology mixes and grids. 9) Resource constraints: high-cost instruments (CRDS, SMPS) and lab analyses may limit sample throughput. 10) Temporal coverage: seasonal campaigns may still miss rare high-emission events; event sampling must be carefully integrated to avoid biased annualization.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