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purpose_strategic_renewal</w:t>
      </w:r>
    </w:p>
    <w:p>
      <w:r>
        <w:t xml:space="preserve"> </w:t>
      </w:r>
    </w:p>
    <w:p>
      <w:pPr>
        <w:pStyle w:val="Heading2"/>
      </w:pPr>
      <w:r>
        <w:t>Title</w:t>
      </w:r>
    </w:p>
    <w:p>
      <w:r>
        <w:t>Systematic review and preregistered empirical protocol using staggered difference-in-differences and NLP event-coding to identify causal links between corporate purpose and strategic renewal</w:t>
      </w:r>
    </w:p>
    <w:p>
      <w:r>
        <w:t xml:space="preserve"> </w:t>
      </w:r>
    </w:p>
    <w:p>
      <w:pPr>
        <w:pStyle w:val="Heading2"/>
      </w:pPr>
      <w:r>
        <w:t>Short Hypothesis</w:t>
      </w:r>
    </w:p>
    <w:p>
      <w:r>
        <w:t>Greater corporate purpose embeddedness causally increases the frequency of firm-level strategic renewal events.</w:t>
      </w:r>
    </w:p>
    <w:p>
      <w:r>
        <w:t xml:space="preserve"> </w:t>
      </w:r>
    </w:p>
    <w:p>
      <w:pPr>
        <w:pStyle w:val="Heading2"/>
      </w:pPr>
      <w:r>
        <w:t>Related Work</w:t>
      </w:r>
    </w:p>
    <w:p>
      <w:r>
        <w:t>Existing research links corporate purpose to firm adaptation through two main streams: qualitative case studies that trace microfoundations (leader cognition, employee motivation) and quantitative work emphasizing dynamic capabilities (sensing, seizing, reconfiguring). Other lines use corporate venturing and innovation studies to infer renewal outcomes. Methodological approaches have included interviews, archival descriptive analyses, basic event counts, and correlational regressions. Key limitations are fragmentation across streams, few validated, cross-national measures of "purpose" (measurement validity), scarce preregistered causal-identification strategies, heavy reliance on small-N qualitative inference, underdeveloped automated event-coding for renewal, and limited testing of mediation (mechanisms) with robust sensitivity analyses. Instrumental strategies and explicit spillover tests are rare. Overall, prior work shows plausible links but lacks reproducible, preregistered designs that combine validated measurement, modern causal estimators, and scalable NLP-based outcome coding.</w:t>
      </w:r>
    </w:p>
    <w:p>
      <w:r>
        <w:t xml:space="preserve"> </w:t>
      </w:r>
    </w:p>
    <w:p>
      <w:pPr>
        <w:pStyle w:val="Heading2"/>
      </w:pPr>
      <w:r>
        <w:t>Abstract</w:t>
      </w:r>
    </w:p>
    <w:p>
      <w:r>
        <w:t>This project addresses whether corporate purpose—how clearly a firm defines and embeds its societal or organizational aims—causally drives strategic renewal (new segments, product‑market realignments, organizational redesigns, and resource reallocation). We first conduct a systematic literature review to map conceptual links and gaps across fragmented literatures. Second, we deliver a preregistered, design-oriented empirical agenda that integrates validated measurement of purpose, an event-based renewal taxonomy, hand-coded anchors for scalable NLP, and causal tests using staggered difference-in-differences (DiD), mediation designs, and candidate instruments. The main contribution is a reproducible protocol (measurement codebook, event-coding manual, active-learning annotation pipeline, power simulations, and analytic templates) that enables transparent tests of mechanisms (dynamic capabilities, ambidexterity) and heterogeneity across countries and industries. Expected outcomes are validated scales for corporate purpose, a public event dataset for renewal, and robust causal estimates that clarify when and how purpose affects renewal choices. Results will support cumulative science and enable policy-relevant guidance on governance and measurement.</w:t>
      </w:r>
    </w:p>
    <w:p>
      <w:r>
        <w:t xml:space="preserve"> </w:t>
      </w:r>
    </w:p>
    <w:p>
      <w:pPr>
        <w:pStyle w:val="Heading2"/>
      </w:pPr>
      <w:r>
        <w:t>Experiments</w:t>
      </w:r>
    </w:p>
    <w:p>
      <w:r>
        <w:t>Datasets: (1) Hand-coded corpus: 1,000+ documents per sector/language seeded from filings, earnings transcripts, press releases, and sustainability reports; (2) Archival firm panel: annual firm-level data for public firms across 10–15 countries (financials, segment disclosures, R&amp;D and capex by year), patent counts and citations, and governance/regulatory adoption dates; (3) Event dataset: month-level coded renewal events (unique event ID, start month, actor, sources). Baselines: (A) keyword-count approach (simple counts of "purpose" and related terms); (B) unsupervised topic model (LDA) applied to documents; (C) TF-IDF + logistic classifier; (D) pretrained multilingual transformer (mBERT/LaBSE) fine-tuned on anchors (proposed method). Evaluation metrics: NLP: precision, recall, F1, calibration R2 mapping automated scores to hand-coded ordinal anchors, and inter-annotator Krippendorff's alpha for manual labels; Event coding: Krippendorff's alpha and ICC (two-way random); Causal estimates: average treatment on the treated (ATT) from staggered DiD, mediated effect sizes (percentage mediated), first-stage F-statistics for IV, and power/MDE tables from simulations. Experimental setup: 1) NLP model training: stratified train/dev/test splits, 5-fold cross-validation, active-learning loop (uncertainty sampling) with stopping rule when out-of-sample F1 improvement &lt; 0.5 percentage points on two consecutive rounds; ablation: with vs without domain-adaptive fine-tuning and with vs without hand-coded anchors. 2) Event coding reliability: two independent coders per event, third coder adjudication; accept event types with Krippendorff's alpha &gt;= 0.80. 3) Causal tests: primary estimator = Callaway &amp; Sant’Anna staggered DiD (cohort-specific ATT series), robustness estimator = Sun &amp; Abraham; include Goodman-Bacon decomposition and placebo lead tests. Covariate set: firm fixed effects, year fixed effects, lagged outcomes, size, leverage, industry-year trends. 4) Mediation tests: longitudinal lag structure (treatment at t0, mediator at t0+1, outcome at t0+2) estimated via panel SEM with firm fixed effects and sensitivity using Imai-style mediation scans and E-values. 5) Instrumental checks (if IV used): list candidate instruments (regulatory disclosure mandates, regional adoption rates excluding focal firm, founder exit dates); require first-stage F &gt; 10, report Hansen J where overidentified, and apply weak-IV robust CIs if needed. 6) Power: publish simulations varying ICC {0.01,0.03,0.05,0.10}, cluster sizes {50,100,250}, panel length {4,8} and attrition {0,20%}; report required N for effect sizes 0.10–0.25. 7) Comparison/ablation studies: (i) DiD estimates using automated event series vs hand-coded events; (ii) mediation estimates with transformer-derived mediators vs survey-based mediators; (iii) NLP with active learning vs random sampling labeling.</w:t>
      </w:r>
    </w:p>
    <w:p>
      <w:r>
        <w:t xml:space="preserve"> </w:t>
      </w:r>
    </w:p>
    <w:p>
      <w:pPr>
        <w:pStyle w:val="Heading2"/>
      </w:pPr>
      <w:r>
        <w:t>Risk Factors And Limitations</w:t>
      </w:r>
    </w:p>
    <w:p>
      <w:r>
        <w:t>Measurement risk: corporate purpose scales may not achieve scalar invariance across countries or languages, limiting mean comparisons. Event-coding risk: ambiguous or compound events (overlapping reorganizations, simultaneous M&amp;A) can create misclassification and lower reliability. Causal ID risk: instruments may be weak or violate exclusion (affect renewal directly), and staggered DiD may suffer from heterogeneous timing biases if not fully accounted for. Spillovers/SUTVA violations: inter-firm or industry spillovers can bias DiD estimates if not detected. Missing data/attrition: nonrandom missingness in panel or survey mediators (MNAR) can bias mediation and DiD results. NLP risks: domain drift over time reduces model accuracy; low-resource languages/sectors may lack sufficient labeled data. Legal/data access: GDPR and other laws may restrict scraping and sharing raw documents, limiting reproducibility. Computational limits: fine-tuning multilingual transformers and multiple simulation grids require substantial compute. Generalization limits: results from public firms and selected countries may not extend to private firms, small firms, or jurisdictions with different disclosure regimes.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