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qianyang_lulc_esv</w:t>
      </w:r>
    </w:p>
    <w:p>
      <w:r>
        <w:t xml:space="preserve"> </w:t>
      </w:r>
    </w:p>
    <w:p>
      <w:pPr>
        <w:pStyle w:val="Heading2"/>
      </w:pPr>
      <w:r>
        <w:t>Title</w:t>
      </w:r>
    </w:p>
    <w:p>
      <w:r>
        <w:t>Quantifying past and future effects of land use and land cover change on ecosystem service value in Qianyang County using spatial statistics and the PLUS land‑change model</w:t>
      </w:r>
    </w:p>
    <w:p>
      <w:r>
        <w:t xml:space="preserve"> </w:t>
      </w:r>
    </w:p>
    <w:p>
      <w:pPr>
        <w:pStyle w:val="Heading2"/>
      </w:pPr>
      <w:r>
        <w:t>Short Hypothesis</w:t>
      </w:r>
    </w:p>
    <w:p>
      <w:r>
        <w:t>Projected increases in urban and irrigated cropland area in Qianyang County will cause a statistically significant net decrease in total ecosystem services value (ESV) by 2050 relative to a business‑as‑usual scenario.</w:t>
      </w:r>
    </w:p>
    <w:p>
      <w:r>
        <w:t xml:space="preserve"> </w:t>
      </w:r>
    </w:p>
    <w:p>
      <w:pPr>
        <w:pStyle w:val="Heading2"/>
      </w:pPr>
      <w:r>
        <w:t>Related Work</w:t>
      </w:r>
    </w:p>
    <w:p>
      <w:r>
        <w:t>Prior work combines remote sensing LULC mapping, land‑change models (CA‑Markov, CLUE‑S, DINAMICA, PLUS) and ecosystem service valuation tools (InVEST, benefit‑transfer). Common pipelines map historical LULC, estimate service values per class, and run spatial allocation models for scenarios. Limitations remain: many studies use coarse LULC legends or coarse resolution that miss fine patterns; land‑change models often lack local calibration and realistic patch dynamics; valuation commonly uses static benefit‑transfer without spatial marginal accounting, causing double‑counting; uncertainty propagation is frequently limited or absent; spatial autocorrelation and clustering are underused in validation; socioeconomic drivers and local hydrology data are often not integrated. Reproducibility is also uneven due to missing priors, undisclosed parameter distributions, and use of proprietary tools without open alternatives.</w:t>
      </w:r>
    </w:p>
    <w:p>
      <w:r>
        <w:t xml:space="preserve"> </w:t>
      </w:r>
    </w:p>
    <w:p>
      <w:pPr>
        <w:pStyle w:val="Heading2"/>
      </w:pPr>
      <w:r>
        <w:t>Abstract</w:t>
      </w:r>
    </w:p>
    <w:p>
      <w:r>
        <w:t>This study measures how historical (2007–2022) land use and land cover (LULC) changes affected ecosystem service value (ESV) in Qianyang County and projects impacts to 2050 using the PLUS land‑change model. We produce an operational LULC map linked to valuation classes, map spatial clustering of ESV with spatial statistics, calibrate hydrology and sediment models to local gauges or short‑term traps, and run scenario ensembles (business‑as‑usual, development, conservation, intensification). Main contributions are: (1) a reproducible pipeline combining high‑resolution LULC mapping, spatial autocorrelation diagnostics, and PLUS scenario allocation; (2) a documented Monte Carlo prior table and ensemble that propagates mapping, model and valuation uncertainty; and (3) worked examples converting stakeholder narratives into explicit transition‑matrix modifiers. Expected outcomes are spatially explicit ESV change maps with per‑pixel probability of loss, uncertainty bounds on monetary estimates, and policy‑useful hotspot identification for Qianyang County. The study delivers reproducible code, containerized environments, and clear prior documentation for ensemble runs.</w:t>
      </w:r>
    </w:p>
    <w:p>
      <w:r>
        <w:t xml:space="preserve"> </w:t>
      </w:r>
    </w:p>
    <w:p>
      <w:pPr>
        <w:pStyle w:val="Heading2"/>
      </w:pPr>
      <w:r>
        <w:t>Experiments</w:t>
      </w:r>
    </w:p>
    <w:p>
      <w:r>
        <w:t>Datasets: historical 2007–2022 LULC time series (30 m; supplemented with Sentinel‑2 10 m and Sentinel‑1 SAR), SRTM/DEM, SoilGrids, HydroSHEDS, GlobeLand30, WorldPop, OpenStreetMap, county hydrometric gauges and turbidity/TSS trap data, county agricultural yields/prices and irrigation cadastre. Models and tools: Random Forest (RF) classifier for LULC suitability; PLUS model for spatial allocation (primary); CA‑Markov and CLUE‑S as baselines; InVEST for water‑yield and sediment and a documented benefit‑transfer matrix for other services. Experimental setup: 1) LULC mapping: train RF with stratified spatially‑balanced samples (150–300 per dominant class; 80–150 per rare class), 5‑fold spatial block cross‑validation (block ≈5 km), minimum 1 km separation to independent validation; independent validation: 400–600 spatially independent points. Metrics: overall accuracy, user’s/producer’s accuracy, F1, Kappa, per‑class 95% CI. 2) Hydrology/sediment calibration: convert turbidity→SSC via local regression; evaluate InVEST/USLE fits with NSE (Nash‑Sutcliffe Efficiency), RMSE, bias. 3) Land‑change and scenarios: estimate transition matrices from two historical windows; run PLUS to 2050 for BAU, Development (+30–50% urban conversion near roads), Conservation (−30–70% conversion in buffers), Intensification (5–20% cropland→orchard/decade). Baselines: CA‑Markov and CLUE‑S scenario runs with identical transition modifiers. Validation metrics for scenarios: Figure of Merit, Lee‑Sallee, landscape metric similarity (mean patch size, edge density), AUC for suitability. 4) ESV calculation: map per‑pixel service changes using InVEST outputs + benefit‑transfer unit values, compute DeltaValue_pixel = Σ(ΔService × UnitValue). Evaluation metrics: total ESV change, per‑pixel MAE/RMSE against calibrated targets where available, percent change and hotspot overlap. 5) Uncertainty and sensitivity: Monte Carlo ensembles n=1000 (sample classifier soft probabilities, hydrology/USLE priors, valuation coefficients, discount rate 2–5%); compute ensemble mean, 95% CI, and probability of &gt;50% loss per pixel. Run Sobol global variance decomposition on a representative subset to apportion input uncertainty. Ablation studies: A) PLUS vs CA‑Markov (compare spatial realism, Figure of Merit, ESV outcomes); B) calibrated InVEST (local gauges/traps) vs default parameters (compare sediment/runoff metrics and ESV); C) RF with Sentinel‑1+2 vs Sentinel‑2 only (map accuracy and downstream ESV differences); D) mapping at 10 m (Sentinel‑2) vs 30 m (Landsat) resolution (effect on hotspot detection and ESV totals). Reproducibility: containerized code, documented priors table (distributions, mean, SD, citations), and scripts to reproduce ensembles.</w:t>
      </w:r>
    </w:p>
    <w:p>
      <w:r>
        <w:t xml:space="preserve"> </w:t>
      </w:r>
    </w:p>
    <w:p>
      <w:pPr>
        <w:pStyle w:val="Heading2"/>
      </w:pPr>
      <w:r>
        <w:t>Risk Factors And Limitations</w:t>
      </w:r>
    </w:p>
    <w:p>
      <w:r>
        <w:t>1) Data availability: local hydrometric gauges, long‑term turbidity/TSS records, and irrigation cadastre may be incomplete or restricted, limiting calibration. 2) Mapping errors: misclassification of rare or spectrally similar classes (e.g., orchards vs forest, irrigated vs rainfed cropland) can bias per‑pixel ESV; rare‑class sample scarcity increases uncertainty. 3) Model structural uncertainty: PLUS and baseline land‑change models use different allocation rules; model choice can change hotspot location and ESV outcomes. 4) Valuation limits: benefit‑transfer values and carbon prices may not reflect local willingness‑to‑pay, producing biased monetary estimates. 5) Double‑counting and causality: overlapping service pathways (e.g., carbon vs avoided erosion benefits) can cause attribution errors if not strictly mapped. 6) Spatial dependence: residual spatial autocorrelation may violate independence assumptions in validation and inflates apparent accuracy. 7) Computational limits: ensemble size (n=1000) and Sobol analysis require heavy compute and storage; limited resources may force smaller ensembles that reduce uncertainty resolution. 8) Generalization: results calibrated to Qianyang conditions may not transfer to other regions without re‑calibration. 9) Social data bias: household surveys and stakeholder narratives may have sampling and response biases affecting scenario levers. 10) Legal/access constraints: proprietary data (high‑res imagery, cadastral) or restricted local records may limit reproducibility of exact results.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