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mdps_dvt_postarthro</w:t>
      </w:r>
    </w:p>
    <w:p>
      <w:r>
        <w:t xml:space="preserve"> </w:t>
      </w:r>
    </w:p>
    <w:p>
      <w:pPr>
        <w:pStyle w:val="Heading2"/>
      </w:pPr>
      <w:r>
        <w:t>Title</w:t>
      </w:r>
    </w:p>
    <w:p>
      <w:r>
        <w:t>Development and psychometric validation of a protection-motivation-theory-based motivation scale to predict postdischarge deep vein thrombosis prophylaxis adherence after hip and knee arthroplasty</w:t>
      </w:r>
    </w:p>
    <w:p>
      <w:r>
        <w:t xml:space="preserve"> </w:t>
      </w:r>
    </w:p>
    <w:p>
      <w:pPr>
        <w:pStyle w:val="Heading2"/>
      </w:pPr>
      <w:r>
        <w:t>Short Hypothesis</w:t>
      </w:r>
    </w:p>
    <w:p>
      <w:r>
        <w:t>Higher scores on the protection-motivation-theory-based motivation scale cause higher pharmacy-derived proportion-of-days-covered (PDC) adherence during the prescribed prophylaxis period in postdischarge hip and knee arthroplasty patients.</w:t>
      </w:r>
    </w:p>
    <w:p>
      <w:r>
        <w:t xml:space="preserve"> </w:t>
      </w:r>
    </w:p>
    <w:p>
      <w:pPr>
        <w:pStyle w:val="Heading2"/>
      </w:pPr>
      <w:r>
        <w:t>Related Work</w:t>
      </w:r>
    </w:p>
    <w:p>
      <w:r>
        <w:t>Existing work on medication adherence after surgery uses general self-report adherence questionnaires, single-item screens, and clinical predictors (age, comorbidity, route of administration). Health behavior theories such as protection motivation theory (which models perceived threat and coping appraisal) have been applied to predict health actions but rarely produced a focused, validated scale for post-arthroplasty DVT prophylaxis. Prior psychometric efforts often rely on small samples, limited cross-cultural testing, and subjective adherence outcomes. Predictive models of nonadherence commonly report internal performance but lack prespecified decision frameworks linked to intervention cost or capacity. Limitations across these approaches include: reliance on self-report (subject to bias), weak or absent item-level validation (no item-response modeling), little analysis of differential item functioning (DIF) across languages or sociodemographic groups, and sparse use of objective pharmacy-derived outcomes (PDC). These gaps leave a need for a brief, theory-grounded scale with rigorous psychometrics and demonstration of predictive and clinical utility.</w:t>
      </w:r>
    </w:p>
    <w:p>
      <w:r>
        <w:t xml:space="preserve"> </w:t>
      </w:r>
    </w:p>
    <w:p>
      <w:pPr>
        <w:pStyle w:val="Heading2"/>
      </w:pPr>
      <w:r>
        <w:t>Abstract</w:t>
      </w:r>
    </w:p>
    <w:p>
      <w:r>
        <w:t>Postdischarge adherence to deep vein thrombosis (DVT) prophylaxis after hip or knee arthroplasty is variable and can affect patient safety. We propose to develop and validate a brief motivation scale grounded in protection motivation theory (a model that separates threat appraisal from coping appraisal) to measure cognitive drivers of adherence to prescribed anticoagulant prophylaxis. Item content will be generated from literature, patient interviews, and expert input, then iteratively refined by cognitive testing. Psychometric evaluation will include factor analysis, item-response modeling (which examines how items relate to underlying traits), reliability testing, and tests for differential item functioning by language and demographic groups. Scale scores will be validated against an objective adherence outcome (pharmacy-derived Proportion of Days Covered, PDC) and evaluated for clinical utility using decision-curve analysis that links score thresholds to outreach costs and capacity. The main contribution is a reproducible, theory-based instrument that predicts objective adherence and can be used to triage postdischarge support. Expected outcome: a validated scale with prespecified bands and an initial minimal clinically important difference for pilot implementation.</w:t>
      </w:r>
    </w:p>
    <w:p>
      <w:r>
        <w:t xml:space="preserve"> </w:t>
      </w:r>
    </w:p>
    <w:p>
      <w:pPr>
        <w:pStyle w:val="Heading2"/>
      </w:pPr>
      <w:r>
        <w:t>Experiments</w:t>
      </w:r>
    </w:p>
    <w:p>
      <w:r>
        <w:t>Datasets: 1) Cognitive interview sample n=20-30 (English and Spanish) for item refinement. 2) Pilot cohort n=150-300 to test administration workflows. 3) Full validation cohort N=500-600 multisite postdischarge hip/knee arthroplasty patients with pharmacy claims to compute PDC over prescribed prophylaxis. 4) Nested case–cohort for symptomatic VTE: random subcohort ~20% plus all identified VTE cases; registry/claims linkage to extend person-years for rare-event analysis. Baselines: a) no-scale clinical model (demographics and clinical covariates only), b) generic self-report adherence scales (e.g., brief 4- or 8-item), c) single-item adherence question. Metrics: psychometrics — exploratory and confirmatory factor fit indices (CFI, TLI, RMSEA), internal consistency (Cronbach's alpha and omega; alpha is a simple reliability measure, omega is a more general one), test–retest intraclass correlation coefficient (ICC), graded-response item-response theory (IRT) parameters (discrimination and difficulty), DIF tests (ordinal logistic regression and IRT-based), construct validity correlations. Predictive performance — AUC (area under ROC curve), calibration slope, Brier score (mean squared error of predictions), sensitivity/specificity at prespecified bands, PPV/NPV, decision-curve net benefit across outreach-cost scenarios, alert burden (alerts per 100 discharges). Experimental setup: 1) Generate 10-12 candidate items; perform two rounds of cognitive interviews and revise. 2) Administer scale via SMART on FHIR app or REDCap; collect baseline clinical covariates and PDC outcome. 3) Psychometric pipeline: EFA on half sample, CFA on holdout; IRT graded-response modeling; compute reliability and test–retest ICC on subset n=50-100 with 7-14 day interval. 4) Predictive modeling: prespecified models — penalized logistic regression (LASSO/elastic-net), mixed-effects logistic regression with site random intercept, and XGBoost; tune with 10-fold CV; report bootstrap (1,000) optimism-corrected AUC, calibration, and net benefit. 5) Ablations: A) remove behavioral-anchored validity items and compare reliability/IRT parameters; B) remove reverse-scored items and compare response-style indices; C) predictive ablation comparing (scale only) vs (clinical covariates only) vs (scale + covariates); D) label sensitivity: recompute PDC using allowable gaps 0, 7, 14 days and assess impact on model performance. 6) DIF and fairness: test prespecified subgroups (sex, race, age bands, language, payer) with minimum subgroup n&gt;=100 where available. Missing data: use MICE with m=20 imputations including site indicator; include imputation diagnostics. Documentation: preregister SAP and share analysis code and annotated item log.</w:t>
      </w:r>
    </w:p>
    <w:p>
      <w:r>
        <w:t xml:space="preserve"> </w:t>
      </w:r>
    </w:p>
    <w:p>
      <w:pPr>
        <w:pStyle w:val="Heading2"/>
      </w:pPr>
      <w:r>
        <w:t>Risk Factors And Limitations</w:t>
      </w:r>
    </w:p>
    <w:p>
      <w:r>
        <w:t>1) Outcome measurement limits: pharmacy-derived PDC may misclassify adherence for injectable-only regimens or if fills occur outside captured systems. 2) Low event rates: symptomatic VTE is rare (&lt;&lt;5%), so precision for VTE risk estimates and subgroup analyses may be limited even with registry linkage. 3) Sample-size constraints: subgroup DIF testing requires ≥100 per subgroup; achieving this may be infeasible at some sites. 4) Response bias: social desirability and acquiescence can distort self-report items, especially if proxies complete surveys. 5) Missing data mechanisms: data may be missing not at random (MNAR), which can bias imputation-based estimates. 6) Model overfitting: many candidate predictors and modest event counts can produce unstable predictive models despite penalization. 7) Generalizability: scale developed in specific surgical populations and health systems may not transfer to other contexts without revalidation. 8) EHR integration variability: SMART on FHIR availability differs across sites, affecting administration consistency. 9) Operational risk: alert burden and false positives can produce staff fatigue and workflow disruption. 10) Privacy and governance: data-sharing and linkage depend on DUAs and IRB approvals that may limit public release of item-level data.</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