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tradeoff_bank_capital_wacc_merton</w:t>
      </w:r>
    </w:p>
    <w:p>
      <w:r>
        <w:t xml:space="preserve"> </w:t>
      </w:r>
    </w:p>
    <w:p>
      <w:pPr>
        <w:pStyle w:val="Heading2"/>
      </w:pPr>
      <w:r>
        <w:t>Title</w:t>
      </w:r>
    </w:p>
    <w:p>
      <w:r>
        <w:t>A trade-off corporate finance model integrating Fernandez cost-of-leverage and Merton structural default methods to compute optimal bank capital and capital requirements</w:t>
      </w:r>
    </w:p>
    <w:p>
      <w:r>
        <w:t xml:space="preserve"> </w:t>
      </w:r>
    </w:p>
    <w:p>
      <w:pPr>
        <w:pStyle w:val="Heading2"/>
      </w:pPr>
      <w:r>
        <w:t>Short Hypothesis</w:t>
      </w:r>
    </w:p>
    <w:p>
      <w:r>
        <w:t>For realistic bank balance-sheet and country parameters, increasing a bank's equity ratio reduces its failure probability and expected fiscal exposure such that the social weighted average cost of capital (WACC) is minimized at an interior capital ratio k* that exceeds the privately chosen capital ratio.</w:t>
      </w:r>
    </w:p>
    <w:p>
      <w:r>
        <w:t xml:space="preserve"> </w:t>
      </w:r>
    </w:p>
    <w:p>
      <w:pPr>
        <w:pStyle w:val="Heading2"/>
      </w:pPr>
      <w:r>
        <w:t>Related Work</w:t>
      </w:r>
    </w:p>
    <w:p>
      <w:r>
        <w:t>Existing approaches separate two strands: (1) trade-off corporate finance models that compute cost-of-leverage (loss of debt tax shields and issuance costs) but typically ignore bank-specific liquidity premia and resolution policy design; and (2) structural default models (Merton-type) that map asset shocks to default probability but often omit detailed debt policy, liquidity-run amplification, and welfare objectives. Empirical bank-capital literature estimates lending responses to capital shocks using DiD/RD/IV but faces weak instruments and limited mapping to welfare. Contagion studies either estimate network exposures or aggregate price-mediated multipliers but rarely combine both. Limitations: no unified framework jointly quantifies how equity affects WACC through (i) loss of debt tax shields and liquidity premium, (ii) changes in PD via structural asset models, and (iii) fiscal and output externalities under explicit social-welfare objectives.</w:t>
      </w:r>
    </w:p>
    <w:p>
      <w:r>
        <w:t xml:space="preserve"> </w:t>
      </w:r>
    </w:p>
    <w:p>
      <w:pPr>
        <w:pStyle w:val="Heading2"/>
      </w:pPr>
      <w:r>
        <w:t>Abstract</w:t>
      </w:r>
    </w:p>
    <w:p>
      <w:r>
        <w:t>This project develops a unified trade-off corporate finance framework for banks that quantifies how equity levels change the bank's weighted average cost of capital (WACC) by balancing private financing costs against social benefits from lower failure probability, reduced fiscal exposure, and higher lending. The model blends Fernandez's cost-of-leverage (adjusted for a liquidity premium and debt-policy features such as bail-in) with a Merton-style structural default module that maps asset returns into insolvency probability. We operationalize an explicit social-welfare objective that converts lending responses into output losses and fiscal costs. Parameters are empirically calibrated using Call Reports, FDIC resolution records, Dealogic/TRACE (issuance costs), OptionMetrics/CDS (market-implied risk), and identification strategies (staggered DiD, RD, IV) to estimate loan-capital elasticities and fiscal elasticities. The deliverable is a calibrated simulator that returns private vs social optimal capital, MB/MC curves, welfare heatmaps across policy grids, and probabilistic assessments of sign reversal under parameter uncertainty. Expected outcome: policy-grade guidance on capital floors, bail-in design, and liquidity standards.</w:t>
      </w:r>
    </w:p>
    <w:p>
      <w:r>
        <w:t xml:space="preserve"> </w:t>
      </w:r>
    </w:p>
    <w:p>
      <w:pPr>
        <w:pStyle w:val="Heading2"/>
      </w:pPr>
      <w:r>
        <w:t>Experiments</w:t>
      </w:r>
    </w:p>
    <w:p>
      <w:r>
        <w:t>Datasets: FR Y-9C / FFIEC Call Reports (quarterly bank balance sheets), FDIC receivership records (payouts &amp; recoveries), Dealogic/TRACE (equity and bond issuance concessions), OptionMetrics and CDS spreads (market-implied risk), HMDA and Summary of Deposits (lending and deposit flows). Baselines: (A) Fernandez cost-of-leverage only (no structural PD), (B) Merton structural PD only (no debt-policy/liquidity premium), (C) private WACC minimization (bank-level), and (D) full model (cost-of-leverage + liquidity premium + Merton + social welfare). Calibration and identification: estimate loan-capital elasticity β_L with staggered DiD (Basel/CCyB rollouts) and RD at SIFI thresholds; estimate ∂b/∂k (fiscal exposure elasticity) by regressing FDIC NPV payouts on pre-failure capital with synthetic-control validation. Monte Carlo simulator: one-factor t-copula (df ν configurable) for asset tails, Poisson liquidity-run draws correlated with the systematic factor, fire-sale price function s(F_sys); use importance sampling targeting tail insolvency regions. Evaluation metrics: k_priv vs k_soc, WACC(k), PD(k), expected fiscal cost E[T], expected GDP loss E[ΔY], shortfall probability P(shortfall), welfare difference ΔW, 90% credible intervals, and probability of sign reversal. Experiment grid and runs: sweep k in [k_min,k_max] with 50 grid points, bail-in share b in {0,0.5,1}, liquidity elasticity scenarios (low/med/high), and tail df ν in {3,5,30}; MC draws per cell = 1e6 (importance sampled) for stable tail estimates. Ablations: (i) remove liquidity premium from cost-of-leverage, (ii) set bail-in share b=0 vs b=1, (iii) replace t-copula with Gaussian; compare outputs on metrics above. Statistical inference: propagate empirical SEs via Bayesian hierarchical sampling and report posterior predictive checks, MDEs for β_L and ∂ke/∂k, and coverage of welfare intervals.</w:t>
      </w:r>
    </w:p>
    <w:p>
      <w:r>
        <w:t xml:space="preserve"> </w:t>
      </w:r>
    </w:p>
    <w:p>
      <w:pPr>
        <w:pStyle w:val="Heading2"/>
      </w:pPr>
      <w:r>
        <w:t>Risk Factors And Limitations</w:t>
      </w:r>
    </w:p>
    <w:p>
      <w:r>
        <w:t>Model specification risk: misspecifying r(k), liquidity-price s(·), or tail dependence (t vs Gaussian) can bias k*; structural models (Merton) assume mark-to-market asset dynamics that may not hold in crisis. Identification risk: instruments for β_L and ∂b/∂k may be weak or violate exclusion restrictions (policy endogeneity); anticipated first-stage strength may be low. Data and measurement: Call Report merges and FDIC records have reporting lags and measurement error; OptionMetrics liquidity is sparse for many banks. Contagion estimation limits: supervisory exposure data for K_ij may be unavailable, forcing proxies that reduce precision. Computational limits: rare-event Monte Carlo with importance sampling and large grids is expensive. External validity: calibrated results may not generalize across countries with different resolution regimes, tax codes, or banking structures. Welfare parameter choices: CRRA, social discount rate, and amortization horizon H materially affect welfare maps and are intrinsically normative.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