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bank_satisfaction_clv</w:t>
      </w:r>
    </w:p>
    <w:p>
      <w:r>
        <w:t xml:space="preserve"> </w:t>
      </w:r>
    </w:p>
    <w:p>
      <w:pPr>
        <w:pStyle w:val="Heading2"/>
      </w:pPr>
      <w:r>
        <w:t>Title</w:t>
      </w:r>
    </w:p>
    <w:p>
      <w:r>
        <w:t>Estimating sustained causal effects of customer satisfaction on individual bank revenue using linked survey and administrative records</w:t>
      </w:r>
    </w:p>
    <w:p>
      <w:r>
        <w:t xml:space="preserve"> </w:t>
      </w:r>
    </w:p>
    <w:p>
      <w:pPr>
        <w:pStyle w:val="Heading2"/>
      </w:pPr>
      <w:r>
        <w:t>Short Hypothesis</w:t>
      </w:r>
    </w:p>
    <w:p>
      <w:r>
        <w:t>An increase in measured customer satisfaction causes a sustained increase in individual customer bank revenue over a 1–4 year horizon, relative to otherwise similar customers.</w:t>
      </w:r>
    </w:p>
    <w:p>
      <w:r>
        <w:t xml:space="preserve"> </w:t>
      </w:r>
    </w:p>
    <w:p>
      <w:pPr>
        <w:pStyle w:val="Heading2"/>
      </w:pPr>
      <w:r>
        <w:t>Related Work</w:t>
      </w:r>
    </w:p>
    <w:p>
      <w:r>
        <w:t>Existing work links customer satisfaction to higher bank revenue using aggregate or panel correlations, event studies around shocks, and predictive machine‑learning models. Approaches include simple OLS/panel regressions, difference‑in‑differences on phased rollouts or outages, and forecasting methods that predict short‑term revenue from satisfaction scores. Limitations in current methods: many use aggregate or cohort data rather than individual linked survey + transaction records; they often measure effects only for short windows (months), not multi‑year persistence; they rarely correct fully for survey nonresponse or measurement error in satisfaction; they under‑address internal cannibalization (uptake moved from one product to another), competitor offsets (rivals recapturing gains), and interference (spillovers between customers). Identification weaknesses include limited pre‑registration, weak instruments or untested exclusion restrictions for IVs, and insufficient simulation‑based power accounting for seasonality, attrition, and cluster imbalance.</w:t>
      </w:r>
    </w:p>
    <w:p>
      <w:r>
        <w:t xml:space="preserve"> </w:t>
      </w:r>
    </w:p>
    <w:p>
      <w:pPr>
        <w:pStyle w:val="Heading2"/>
      </w:pPr>
      <w:r>
        <w:t>Abstract</w:t>
      </w:r>
    </w:p>
    <w:p>
      <w:r>
        <w:t>We study whether higher customer satisfaction causally increases individual bank revenue and whether that uplift is sustained over 1–4 years. We combine linked customer survey responses and objective bank transaction records to estimate dynamic effects at the customer level. Key methods: (1) treat satisfaction as a latent variable estimated by graded‑response IRT or CFA to reduce measurement error; (2) correct survey nonresponse with propensity weighting and report effective sample size diagnostics; (3) estimate dynamic treatment effects with local projections and modern staggered DiD estimators (Sun &amp; Abraham / Callaway &amp; Sant’Anna) and fit hierarchical Bayesian state‑space models to estimate persistence φ (the decay parameter); (4) quantify internal cannibalization using multinomial switching models and report net‑new revenue under a sensitivity sweep of cannibalization and competitor offsets. Main contribution: a reproducible pipeline that produces uncertainty intervals for customer‑level CLV (customer lifetime value) and decision thresholds (e.g., break‑even cannibalization). Expected outcome: clear, pre‑registered decision rules for rolling satisfaction interventions and robust, multi‑year revenue impact estimates.</w:t>
      </w:r>
    </w:p>
    <w:p>
      <w:r>
        <w:t xml:space="preserve"> </w:t>
      </w:r>
    </w:p>
    <w:p>
      <w:pPr>
        <w:pStyle w:val="Heading2"/>
      </w:pPr>
      <w:r>
        <w:t>Experiments</w:t>
      </w:r>
    </w:p>
    <w:p>
      <w:r>
        <w:t>Datasets: (A) primary linked dataset: survey responses linked to administrative transactions and balances for 19,060 Swedish retail customers, with paradata (mode, duration) and household identifiers; (B) synthetic dataset mirroring schema for simulation and code testing; (C) historical shock catalog (IT outages, phased rollouts, fee changes) for backtests. Baselines and estimators: naive OLS; customer fixed‑effects panel OLS; IPW‑corrected regressions for survey nonresponse (IPW = inverse probability weights); IPTW (inverse probability of treatment weighting) for randomized/pseudo‑experimental assignment; modern DiD estimators (Sun &amp; Abraham; Callaway &amp; Sant’Anna) for staggered exposures; local projections (Jordà) for dynamic impulse response estimation; hierarchical Bayesian state‑space model for persistence φ; multinomial switching model for cannibalization ratios; SEM/EIV (structural equation model / errors‑in‑variables) for measurement error correction. Evaluation metrics: per‑customer revenue growth at 1,2,3,4 years (Δ revenue); change in CLV (discounted at r=3%,6%,10%); RMSE of out‑of‑sample revenue prediction; 90% predictive interval coverage; permutation p‑values for randomization checks; SMD (standardized mean difference) for covariate balance after weighting (target &lt;0.10); ESS (effective sample size) after weighting (target ≥50%); declared MDEs and achieved power. Experimental setup: (1) observational analysis on linked dataset with pre‑specified outcomes aggregated at 6/12 months and horizons to 4 years; (2) backtest: fit models to pre‑shock period, predict holdout geography/time, assess RMSE and coverage; (3) pilot RCT plans (pre‑registered): Segment A (card high‑value): customer‑level randomization, target 25k treatment / 25k control (or branch cluster alternative); Segment B (mass‑affluent deposits): same sizing options; random seeds and immutable assignment logs required. Ablation and comparisons: (i) estimator ablation: compare results with/without IPW, with raw survey scores vs latent factor scores, and with/without SEM/EIV correction; (ii) persistence functional forms: compare exponential φ^t, fractional decay t^{−α}, and nonparametric local projections; (iii) cannibalization sensitivity: sweep cannibalization 0–50% and competitor_offset 0–50% and report break‑even points; (iv) simulation‑based power study: Monte Carlo simulations that inject seasonality, non‑normal noise, time‑varying variance, attrition patterns, and cluster imbalance to validate analytic MDE tables. Pre‑registered diagnostics: SMD&lt;0.10, ESS≥50%, propensity AUC≥0.70, PI coverage ≥80% in backtests. All analyses use pinned package versions, exact seeds, and reproducible notebooks.</w:t>
      </w:r>
    </w:p>
    <w:p>
      <w:r>
        <w:t xml:space="preserve"> </w:t>
      </w:r>
    </w:p>
    <w:p>
      <w:pPr>
        <w:pStyle w:val="Heading2"/>
      </w:pPr>
      <w:r>
        <w:t>Risk Factors And Limitations</w:t>
      </w:r>
    </w:p>
    <w:p>
      <w:r>
        <w:t>Measurement error: survey items may not fully capture the satisfaction construct and latent scores can still be imperfect (measurement error leads to attenuation, i.e., underestimation of true effects). Survey nonresponse and selection: low response rates or nonrandom attrition can bias estimates if weighting or randomized validation subsamples fail (diagnosed by ESS and SMD). Unobserved confounding: observational links may leave residual confounders that bias causal estimates when randomization or valid instruments are absent. Cannibalization and competitor response: internal transfers between bank products (cannibalization) or rivals’ competitive actions can reduce net‑new revenue and are hard to identify precisely. Interference/spillovers: customer interactions or geographic spillovers can violate independence assumptions (treatment of one customer affects others). Sample size and power: some subgroups are small; cluster randomization greatly increases required sample sizes (design effect). Model misspecification: wrong persistence functional form (φ) or wrong distributional assumptions in simulations reduces inference validity. Computation and scalability: hierarchical Bayesian state‑space and large Monte Carlo simulations require substantial compute. Privacy and governance: legal limits on linking survey and admin data, and constraints on data sharing, limit replication. External validity: results from a Swedish retail sample may not generalize to other countries, bank business models, or time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