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intergen_mobility_mothers_role</w:t>
      </w:r>
    </w:p>
    <w:p>
      <w:r>
        <w:t xml:space="preserve"> </w:t>
      </w:r>
    </w:p>
    <w:p>
      <w:pPr>
        <w:pStyle w:val="Heading2"/>
      </w:pPr>
      <w:r>
        <w:t>Title</w:t>
      </w:r>
    </w:p>
    <w:p>
      <w:r>
        <w:t>Estimating maternal and paternal contributions to intergenerational mobility in five Latin American countries using cohort-based instrumental variables and staggered difference-in-differences on linked parent–child data</w:t>
      </w:r>
    </w:p>
    <w:p>
      <w:r>
        <w:t xml:space="preserve"> </w:t>
      </w:r>
    </w:p>
    <w:p>
      <w:pPr>
        <w:pStyle w:val="Heading2"/>
      </w:pPr>
      <w:r>
        <w:t>Short Hypothesis</w:t>
      </w:r>
    </w:p>
    <w:p>
      <w:r>
        <w:t>Increased maternal education causally raises children's completed years of schooling and occupational status, conditional on paternal inputs, as identified by cohort-based schooling reforms and staggered cash-transfer rollouts.</w:t>
      </w:r>
    </w:p>
    <w:p>
      <w:r>
        <w:t xml:space="preserve"> </w:t>
      </w:r>
    </w:p>
    <w:p>
      <w:pPr>
        <w:pStyle w:val="Heading2"/>
      </w:pPr>
      <w:r>
        <w:t>Related Work</w:t>
      </w:r>
    </w:p>
    <w:p>
      <w:r>
        <w:t>Existing work measures intergenerational mobility using single parental proxies (usually either parental education or occupation), rank‑rank correlations, instrumental variables (IV) from schooling reforms, and difference‑in‑differences (DiD) from program rollouts. Strengths: IV and staggered DiD provide plausible quasi‑experimental identification; latent measurement models (IRT/CFA) improve comparability across instruments. Limitations: many studies use only one parental input (omitting the other), producing omitted‑variable bias; measurement error in parental status is common and often not corrected; administrative parent–child linkage is rare, forcing reliance on household surveys with selection and linkage error; treatment heterogeneity and few‑cluster settings reduce reliability of standard SEs; linkage uncertainty and match‑probability are rarely fully propagated into inference; mediation (maternal channels) is often described but not instrumented; and methods to choose estimators under staggered timing are often informal rather than pre‑specified quantitative rules.</w:t>
      </w:r>
    </w:p>
    <w:p>
      <w:r>
        <w:t xml:space="preserve"> </w:t>
      </w:r>
    </w:p>
    <w:p>
      <w:pPr>
        <w:pStyle w:val="Heading2"/>
      </w:pPr>
      <w:r>
        <w:t>Abstract</w:t>
      </w:r>
    </w:p>
    <w:p>
      <w:r>
        <w:t>We study how maternal and paternal socioeconomic inputs jointly shape intergenerational mobility in education, skills, occupation, earnings, and subjective status across Brazil, Chile, Ecuador, Mexico, and Panama. We link parent–child administrative records to household and program data where possible, and deploy two primary quasi‑experimental designs: cohort‑based compulsory‑schooling reforms used as instruments (IV) to identify local average treatment effects (LATE), and staggered conditional cash transfer (CCT) rollouts estimated with group‑time average treatment effects (ATT) following Callaway &amp; Sant’Anna. We combine parental education and occupation into harmonized latent status measures (IRT/CFA), propagate measurement and linkage uncertainty into causal estimates via multiple imputation and latent‑score draws, and calibrate inference with Monte Carlo simulations that vary cluster counts, ICCs, measurement reliabilities, and linkage error. Main contributions: (1) a unified, linkage‑aware estimation pipeline that quantifies maternal vs paternal informativeness; (2) pre‑registered decision rules for estimator and inference choice in few‑cluster settings; (3) MDE and power grids under realistic linkage and measurement error. Expected outcome: reproducible, policy‑relevant estimates of maternal contribution to child status, with transparent uncertainty accounting.</w:t>
      </w:r>
    </w:p>
    <w:p>
      <w:r>
        <w:t xml:space="preserve"> </w:t>
      </w:r>
    </w:p>
    <w:p>
      <w:pPr>
        <w:pStyle w:val="Heading2"/>
      </w:pPr>
      <w:r>
        <w:t>Experiments</w:t>
      </w:r>
    </w:p>
    <w:p>
      <w:r>
        <w:t>Datasets: linked parent–child administrative and survey records in Brazil, Chile, Ecuador, Mexico, Panama where available; national household surveys, program administrative registers (CCT datasets), and enhanced-kin survey fallback subsamples (n≈3,000 dyads per country when linkage denied). Baselines: (A) maternal-education-only OLS/IV; (B) paternal-education-only OLS/IV; (C) parent-occupation-only; (D) combined parental latent-status factor (IRT/CFA) with no measurement-correction; (E) combined latent-status with measurement-correction (SEM/SIMEX); (F) unlinked survey-only estimates. Estimators and technical details: 2SLS LATE using cohort birth-year cutoffs from compulsory‑schooling reforms as instruments (first stage report clustered F and partial R2); staggered DiD estimated with Callaway &amp; Sant’Anna group‑time ATT aggregated to overall ATT; inference mapping by cluster counts (&gt;=50 use cluster‑robust SEs; 15–49 use wild‑cluster bootstrap Webb/Rademacher; 6–14 use wild bootstrap + randomization inference; &lt;6 aggregate or rely on RI). Weak‑IV inference: Anderson–Rubin (AR) and conditional likelihood ratio (CLR) tests; report AR p‑values and CLR confidence sets. Measurement model: graded‑response IRT for ordinal items, categorical CFA (WLSMV) for mixed items; produce posterior latent draws L=50–200. Missing data and linkage: multiple imputation M&gt;=20 for item missingness; inverse‑probability‑of‑linkage weighting (IPLW) and inverse‑probability‑of‑censoring weighting (IPCW) estimated with pre‑treatment predictors; match probability propagation via match‑probability draws instead of hard thresholds. Monte Carlo simulations: 1,000–5,000 replications across grid: clusters={30,50,100,200}, mean cluster size={30,75,150}, ICCs={0.03,0.08,0.15}, measurement reliabilities={0.60,0.75,0.90}, linkage rates={50%,70%,90%}, false-match={0.5%,1%,5%}, false-nonmatch={5%,15%,30%}. Evaluation metrics: effect estimates in SD units and policy units (years/% earnings), minimum detectable effects (MDE) at 80% power, bias and RMSE (simulation), CI coverage, power, sensitivity of estimates to match-rate and measurement reliability, precision/recall of linkage, and differences across baselines. Ablation studies: (1) maternal-only vs paternal-only vs combined latent factor; (2) hard-match thresholding (p&gt;=0.95) vs match‑probability weighting vs full posterior match draws; (3) measurement‑error correction (SEM/SIMEX) vs none; (4) inference method comparison under few clusters (cluster‑robust vs wild bootstrap vs RI). Pre-registration details: seeds, software packages (e.g., fixest/boottest/fwildclusterboot or equivalents), bootstrap draws B=9,999 for primary inferential robustness, and full reporting tables of cluster counts and treated cluster counts per specification.</w:t>
      </w:r>
    </w:p>
    <w:p>
      <w:r>
        <w:t xml:space="preserve"> </w:t>
      </w:r>
    </w:p>
    <w:p>
      <w:pPr>
        <w:pStyle w:val="Heading2"/>
      </w:pPr>
      <w:r>
        <w:t>Risk Factors And Limitations</w:t>
      </w:r>
    </w:p>
    <w:p>
      <w:r>
        <w:t>Denied administrative linkage requiring reliance on enhanced-kin survey subsamples, which reduces sample size and external validity. Linkage errors (false matches or missed links) can attenuate treatment effects and bias estimates; propagation of full match‑probability uncertainty increases variance. Weak instruments (first‑stage F&lt;10) or few treated clusters limit identification and produce wide CI sets; overidentification tests have low power with few clusters. Measurement error or misreporting in parental schooling/occupation biases OLS; SEM/SIMEX corrections assume classical error and may fail under nonclassical misreporting. Missing data may be MNAR (not missing at random), and sensitivity analyses may not fully resolve biases. Differential privacy or strong synthetic-data constraints reduce analytic utility for public releases. Heterogeneous policy implementation and migration across cohort boundaries can violate monotonicity and exclusion assumptions. Computational demands for Monte Carlo grids, multiple imputations, latent draws, and linkage posterior propagation are high and require secure enclave resources. Results may not generalize beyond the five countries or to older/later cohorts due to cohort‑specific institutions and labor‑market changes.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