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ecb_climate_eventstudy_banks</w:t>
      </w:r>
    </w:p>
    <w:p>
      <w:r>
        <w:t xml:space="preserve"> </w:t>
      </w:r>
    </w:p>
    <w:p>
      <w:pPr>
        <w:pStyle w:val="Heading2"/>
      </w:pPr>
      <w:r>
        <w:t>Title</w:t>
      </w:r>
    </w:p>
    <w:p>
      <w:r>
        <w:t>Event-study analysis of how ECB climate-related announcements affect European banks' stock returns</w:t>
      </w:r>
    </w:p>
    <w:p>
      <w:r>
        <w:t xml:space="preserve"> </w:t>
      </w:r>
    </w:p>
    <w:p>
      <w:pPr>
        <w:pStyle w:val="Heading2"/>
      </w:pPr>
      <w:r>
        <w:t>Short Hypothesis</w:t>
      </w:r>
    </w:p>
    <w:p>
      <w:r>
        <w:t>ECB climate-related announcements cause differential short-window cumulative abnormal returns (CARs) among European banks such that banks with higher financed-emissions exhibit more negative CARs in the (-3,+3) window than banks with lower financed-emissions.</w:t>
      </w:r>
    </w:p>
    <w:p>
      <w:r>
        <w:t xml:space="preserve"> </w:t>
      </w:r>
    </w:p>
    <w:p>
      <w:pPr>
        <w:pStyle w:val="Heading2"/>
      </w:pPr>
      <w:r>
        <w:t>Related Work</w:t>
      </w:r>
    </w:p>
    <w:p>
      <w:r>
        <w:t>Existing work studies market reactions to central bank communications and separately examines climate risk pricing in financial firms. Prior event-study approaches typically use broad windows, aggregate samples, or single-factor benchmarks and often ignore minute-level announcement timing, thin trading, and measurement error in bank climate exposures. Causal studies that use instruments for bank exposures are limited and frequently face weak-IV problems; measurement-error corrections like SIMEX or IV-DML are rare in applied bank-climate work. Machine-learning heterogeneity analyses exist for asset returns but are seldom combined with rigorous event timing, IV diagnostics, and microstructure rules. Limitations in the literature include imprecise event timestamps, inconsistent exposure mapping (financed emissions), inadequate handling of cross-sectional dependence, and lack of preregistered power and reproducibility protocols.</w:t>
      </w:r>
    </w:p>
    <w:p>
      <w:r>
        <w:t xml:space="preserve"> </w:t>
      </w:r>
    </w:p>
    <w:p>
      <w:pPr>
        <w:pStyle w:val="Heading2"/>
      </w:pPr>
      <w:r>
        <w:t>Abstract</w:t>
      </w:r>
    </w:p>
    <w:p>
      <w:r>
        <w:t>This study quantifies the effect of European Central Bank (ECB) climate-related announcements on the stock returns of consolidated European banks using a high-frequency event-study framework. We link minute-level ECB announcement timestamps to bank equity prices and bank-level climate exposures (financed emissions and geographically mapped physical-risk shares). We estimate cumulative abnormal returns (CARs) on narrow (-3,+3) and medium (-30,+30) windows using market-model and multi-factor adjustments, and we assess heterogeneity with causal and machine-learning estimators. Main contributions are (1) precise intraday identification of ECB climate communications, (2) exposure validation and measurement-error correction (SIMEX and IV-DML), and (3) robust inference for staggered and clustered events (Callaway &amp; Sant’Anna, Sun &amp; Abraham, multi-way clustering, wild-bootstrap). We expect to clarify whether and how ECB climate communications have immediate valuation effects on banks, and to translate CARs into policy-relevant metrics such as implied market-value loss and CET1 basis-point impacts.</w:t>
      </w:r>
    </w:p>
    <w:p>
      <w:r>
        <w:t xml:space="preserve"> </w:t>
      </w:r>
    </w:p>
    <w:p>
      <w:pPr>
        <w:pStyle w:val="Heading2"/>
      </w:pPr>
      <w:r>
        <w:t>Experiments</w:t>
      </w:r>
    </w:p>
    <w:p>
      <w:r>
        <w:t>Datasets: intraday and daily equity prices (Refinitiv/Bloomberg), corporate-action feeds, bank fundamentals (Orbis/SNL), financed-emissions (Trucost primary, CDP secondary), branch geolocation or AnaCredit for loan geocoding, hazard maps (JRC/Copernicus), ECB/SSM press releases and speeches. Baselines: (A) market-model CAR (single market factor), (B) Fama-French 3-factor and 5-factor CAR, (C) factor-augmented PCA CAR (first 5 PCs of returns), (D) placebo (randomized announcement dates). Metrics: cumulative abnormal returns (CAR) in percent, t-statistics, cluster-robust p-values, economic metric = CAR × market-cap (implied equity loss), implied CET1 ppt change = equity loss / RWAs. Inference methods: multi-way clustering (bank × event_date), Driscoll-Kraay, wild-cluster bootstrap, Callaway &amp; Sant’Anna and Sun &amp; Abraham staggered-DID, Double/Debiased ML (DML), IV-DML, and SIMEX for measurement-error correction. Setup: define beta estimation window as trading days -250 to -31 relative to each event; use event windows (-3,+3) and (-30,+30); anchor intraday to UTC minute; nearest-tick price at timestamp, VWAP when ≥3 trades; exclude thin observations with no trade within ±5 minutes for primary analysis. Controls: bank size, leverage, CET1, liquidity, business-model dummies, country-by-day macro controls. Ablations/Comparisons: (1) compare CARs computed with market-model vs Fama-French vs PCA; (2) SIMEX-corrected vs uncorrected exposure regressions; (3) IV-DML using pre-2000 branch-footprint instrument vs non-IV; (4) de-duplication sensitivity ±1/±5/±10 minutes; (5) trade-based VWAP vs quote-midpoint adjustment; (6) inclusion vs vetoing of days with co-announcements (algorithmic veto). Evaluation: report point estimates, 95% CIs, BH FDR-adjusted q-values for pre-specified families, power simulations (≥5000 draws) with empirical return covariance and thin-trade mechanics to produce minimum detectable CARs.</w:t>
      </w:r>
    </w:p>
    <w:p>
      <w:r>
        <w:t xml:space="preserve"> </w:t>
      </w:r>
    </w:p>
    <w:p>
      <w:pPr>
        <w:pStyle w:val="Heading2"/>
      </w:pPr>
      <w:r>
        <w:t>Risk Factors And Limitations</w:t>
      </w:r>
    </w:p>
    <w:p>
      <w:r>
        <w:t>Measurement error: financed-emissions estimates (Trucost/CDP) may be noisy and biased; SIMEX and IV-DML rely on correct error models. Weak instruments: candidate IVs (pre-2000 branch footprint, founding attributes) may have low first-stage strength, limiting causal claims. Thin trading and microstructure: sparse intraday trades for some banks can bias CARs and reduce sample size. Co-announcements: simultaneous macro or central-bank events may confound attribution to ECB climate messages. Low power: limited number of clean, time-stamped climate announcements may reduce ability to detect small CARs. Cross-sectional dependence: strong common shocks across banks complicate inference and require careful factor controls. Data access and reproducibility: vendor licensing (prices, emissions) and restricted sources (AnaCredit) may limit public replication. External validity: results on European consolidated parents may not generalize to smaller banks or non-European jurisdictions.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