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eu_funds_tfp_spatial_did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causal impact of European Structural and Investment Funds on regional total factor productivity using staggered difference-in-differences with spatial decomposition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Sustained increases in EU cohesion funds disbursed to a NUTS2 region cause higher cumulative total factor productivity (TFP) growth in that region over five years, and a portion of this effect spills over to neighboring regions.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use difference-in-differences (DiD), shift-share instrumental variables (IV), spatial econometric models, and firm-level productivity aggregation to estimate fund impacts on regional growth. Common approaches are two-way fixed effects DiD, staggered DiD variants, shift-share IVs built from pre-programme shares, and spatial Durbin/lag models to capture spillovers. Limitations include bias from staggered treatment timing in simple two-way FE DiD, endogeneity of fund allocation and co-financing, weak or invalid shift-share shifters, measurement error in regional TFP, omission of spatial spillovers or reflection bias, dynamic panel bias when including lagged dependent variables, and reproducibility gaps in micro-to-macro aggregation. Prior work often lacks a single pre-registered estimator for headline claims, unified measurement-error corrections, and calibrated Monte-Carlo power analyses that incorporate spatial and serial correlation.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how European Structural and Investment Funds affect regional total factor productivity (TFP) growth across 262 NUTS2 regions from 2000–2019. We pre-register a primary estimand: the average treatment effect on the treated (ATT) as cumulative five-year TFP growth following meaningful increases in disbursed funds. The main estimator is a doubly-robust staggered DiD (Callaway &amp; Sant'Anna) with region and year fixed effects; spatial decomposition (direct and indirect effects) is reported via a spatial Durbin model using a single pre-specified spatial weight (queen contiguity) and Conley spatial HAC (300 km). Secondary checks include shift-share leave-one-out IVs for endogeneity, spatial-IVs for spillovers, and measurement-error corrections using micro-aggregated ORBIS TFP and SIMEX. Contributions: a fully pre-registered pipeline combining modern staggered DiD, spatial identification of spillovers, calibrated Monte-Carlo MDEs, and reproducible micro-to-macro TFP aggregation. Expected outcome: precise, policy-relevant estimates of direct and spillover effects of different fund types on regional productivity.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NUTS2 panel (N≈262, years 2000–2019) harmonized to NUTS2016; annual disbursed and committed EU funds by fund type (ERDF, ESF, CF, EAFRD) from administrative sources; Eurostat regional GVA, employment and hours; ORBIS firm-level data geocoded to NUTS for micro TFP (LP/ACF value-added); IO/commuting matrices for spatial links. Preprocessing: compute Solow-residual TFP at NUTS2 (primary), micro-aggregated TFP (secondary), perpetual inventory capital, labor hours imputation, and IPF reweighting of ORBIS aggregates. Treatment: primary binary treatment = region-year where five-year cumulative disbursed per capita &gt; 75th percentile within the same programming period; primary exposure uses one-year lagged disbursements. Primary estimator: Callaway &amp; Sant'Anna staggered DiD (doubly-robust group-time ATT) with region and year fixed effects; event study horizons −5 to +10 (bins beyond +8). Spatial decomposition: spatial Durbin model (SDM) with queen contiguity W (pre-specified) and LeSage–Pace direct/indirect impacts; Conley spatial HAC bandwidth = 300 km for main tables. Endogeneity checks: leave-one-out shift-share IVs (predicted allocation using 1999/2000 shares) and spatial-IVs instrumenting neighbors' treatment with neighbors' predicted allocations interacted with national envelope shocks. Baselines: (1) two-way FE DiD, (2) staggered DiD without double-robust weighting, (3) OLS pooled, (4) SDM without IV, (5) shift-share IV without spatial terms, (6) RD at 75% eligibility cutoff (sharp/fuzzy). Evaluation metrics: 5-year cumulative ATT point estimates and 95% CIs, bootstrap CIs (clustered by region, 1,000 draws), first-stage F, Anderson–Rubin CIs for weak IVs, placebo p-values from permutation tests, pre-trend lead p-values, Monte-Carlo estimated MDEs (80% power, α=0.05), coverage and bias measures from simulations. Ablation studies: (A) remove spatial terms to compare ATT estimates; (B) replace queen W with alternative Ws (inverse-distance 300 km, commuting) to measure sensitivity; (C) compare TFP measurement strategies (Solow vs micro-aggregated vs SIMEX-corrected) to quantify measurement bias; (D) vary cumulative intensity (no decay, λ=0.8, λ=0.5) to test treatment definition. Reporting: direct and total ATT, event-study plots, spatial impact maps, first-stage diagnostics, and robustness tables for baselines and ablations.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coverage: ORBIS firm-level coverage is uneven across regions; low coverage may bias micro-aggregates and instruments. Measurement error: TFP estimates depend on capital stock and labor imputations; residual measurement error can attenuate ATT. Endogeneity: allocation rules, political lobbying, and co-financing choices may correlate with unobserved shocks, challenging causal identification if IVs are weak or invalid. Weak instruments: shift-share shifters or natural shocks may produce weak first stages (F&lt;10), yielding wide AR CIs and limits on point identification. Spatial identification threats: reflection (simultaneity) and misspecified W matrices can bias spillover estimates; pre-specifying a single W reduces researcher degrees of freedom but may misrepresent true connectivity. Dynamic bias: inclusion of lagged dependent variables in spatial panels can produce Nickell bias in short T, requiring bias correction or GMM; choice of correct dynamic estimator depends on simulated bias thresholds. Small-cluster inference: country-level clusters with few treated units reduce asymptotic reliability, requiring permutation or wild bootstrap which may still have low power. External validity: results at NUTS2 and 2000–2019 may not generalize to other periods, aggregation levels, or non-EU contexts.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