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true_pricing_pos_presentation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Randomized evaluation of point-of-sale true-pricing presentation formats on consumer choice and welfare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Presenting SKU-level monetary externalities as absolute monetary amounts at point of sale causes a higher probability of consumers choosing lower-impact alternatives than presenting relative-percent information or no externality information.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compares pricing strategies (tiered, dynamic, value-based) and various sustainability labels (traffic-light, percent-savings, carbon-footprint icons). Lab and field experiments show that label framing and numeric format affect choices, and structural demand models (e.g., mixed-logit) are used to estimate welfare (consumer surplus). Lifecycle assessment (LCA) methods provide SKU footprints but often omit clear uncertainty propagation and monetization sensitivity. Prior work limitations: few large randomized comparisons of absolute monetary vs relative-percent displays at point of sale; limited joint treatment of LCA and monetization uncertainty when estimating welfare; inconsistent pre-registration of primary estimand, covariates and multiplicity controls; and weak operational rules for supplier data quality, imputation, audits, and pause governance.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how different point-of-sale presentations of 'true prices' (prices that internalize external environmental and health costs) affect consumer choice and welfare. We run a large randomized survey experiment comparing three label formats: absolute monetary externality (with a small uncertainty range), relative-percent impact, and no information. We measure choice probabilities, willingness-to-pay, comprehension, and estimate welfare changes using a structural demand model (mixed-logit) that integrates LCA footprint uncertainty and a pre-specified monetization grid. Main contributions: (1) a direct causal comparison of absolute vs relative presentations on actual choice and comprehension, (2) a reproducible pipeline that propagates LCA and imputation uncertainty into consumer-surplus estimates, and (3) pre-registered operational rules for monetization bands, imputation fallbacks, and pause triggers. Expected outcome: clear evidence on which numeric presentation improves low-impact choices and defensible welfare estimates robust to LCA and monetization uncertainty.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= randomized online survey experiment with N=1,400 consumers sampled in the Netherlands and Denmark; secondary = mock-up supermarket replication (simulated checkout) with N target per scenario and eventual POS RCT design notes for scaling. Randomization and arms: three-arm between-subject random assignment: (A) absolute monetary externality label (e.g., "+$0.40, range $0.25–$0.60" with traffic-light icon), (B) relative-percent impact label (e.g., "-12% impact"), (C) control (no externality info). Additional ablations: absolute point estimate vs range; traffic-light icon only; SKU-level validated-only sample. Primary outcome and estimand: ITT effect on binary purchase choice of the low-impact alternative in discrete-choice tasks; pre-registered single primary estimand = ITT difference in choice probability between arm A and control. Prespecified covariates: age, gender, income quintile, household size, baseline category purchase frequency (past 4 weeks), self-reported environmental preference score; label covariates are adjustment covariates only. Baseline window: for survey stated baseline = unlabeled choice probability; for mock-up/POS use 4-week pre-treatment transaction share. Evaluation metrics: primary = change in proportion choosing low-impact SKU (difference in proportions); secondary = WTP (willingness-to-pay) shifts from discrete-choice model, comprehension rate (% correct on 3-item battery), consumer-surplus change (CS) from mixed-logit model (mixed-logit: a model allowing random taste variation across consumers; explained simply: it models individual choice probabilities allowing person-level differences), kgCO2e and DALY reductions per transaction, and monetized welfare under SCC/DALY bands. Statistical methods: ITT estimated by linear probability model (LPM) with cluster-robust SEs; report logistic regression robustness; mixed-logit estimation (Bayesian HMC and simulated ML robustness) for welfare with weakly informative priors (Normal(0,2) on taste coefficients). CS inference: compute CS per posterior/bootstrap draw (&gt;=1,000 draws), report 95% percentile CIs; outside option defined as current basket/no-purchase. Monetization sensitivity: report results across SCC bands $50/$75/$125 per tCO2e and DALY WTP $50k/$100k/$150k (3x3 grid) and propagate ±25% LCA input uncertainty in nested Monte Carlo. Power and sample notes: survey N=1,400 (≈467 per arm) yields approximate MDE ≈5.5 percentage points for baseline share 25% (difference in proportions, two-sided); report power tables for POS designs where detecting 3pp requires ≈3,400 observations per arm and 5pp ≈1,200 per arm, adjusted for ICC and compliance per pre-registered formulas. Noncompliance and CACE: pre-specify instrument (random assignment) for realized exposure and report IV CACE as secondary. Multiple testing and ablations: prespecify gatekeeping family with primary test = arm A vs control on primary outcome; secondary tests (A vs B, subgroup tests) adjusted via hierarchical gatekeeping (familywise control) and report adjusted p-values. Robustness and diagnostics: LCA pedigree flags, hierarchical Bayesian multiple imputation (m=50) for missing SKU footprints with sensitivity to MNAR via delta-adjustments, and restriction analyses to validated-SKU subset. Pre-registered spillover checks: placebo stores, lead/lag tests and spatial windows (stores within 500m) and adaptation of clustering if spillovers detected.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comprehension: consumers may not understand monetary externalities or ranges, biasing measured effects (technical term: measurement error). LCA uncertainty and monetization choice: large uncertainty in footprints or SCC/DALY values can change welfare direction; results may not be robust across plausible monetization priors. Imputation bias: fallback SKU imputations (brand→subcategory→category) can misrepresent true footprints and bias treatment estimates if imputation correlates with treatment or sales rank. Sample and external validity: online survey responses may not generalize to in-store behavior; mock-up and POS contexts may diverge. Social desirability and hypothetical bias: stated choices/WTP in surveys can overstate real purchase change. Noncompliance and exposure: assigned labels may not map to actual seen labels in field rollout, complicating CACE estimation. Scalability and compute: mixed-logit welfare estimation with nested Monte Carlo draws is computationally intensive and may limit real-time monitoring frequency. Privacy and legal constraints: transaction-linked data for POS replication may be restricted by GDPR or retailer rules, limiting replication. Pause-rule false alarms: EWMA/two-window rule may trigger false pauses under high natural variability unless calibrated by simulation.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