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markup_product_differentiation_airlines</w:t>
      </w:r>
    </w:p>
    <w:p>
      <w:r>
        <w:t xml:space="preserve"> </w:t>
      </w:r>
    </w:p>
    <w:p>
      <w:pPr>
        <w:pStyle w:val="Heading2"/>
      </w:pPr>
      <w:r>
        <w:t>Title</w:t>
      </w:r>
    </w:p>
    <w:p>
      <w:r>
        <w:t>Decomposing annual markup changes with product differentiation using a BLP‑GMM framework for the U.S. airline industry</w:t>
      </w:r>
    </w:p>
    <w:p>
      <w:r>
        <w:t xml:space="preserve"> </w:t>
      </w:r>
    </w:p>
    <w:p>
      <w:pPr>
        <w:pStyle w:val="Heading2"/>
      </w:pPr>
      <w:r>
        <w:t>Short Hypothesis</w:t>
      </w:r>
    </w:p>
    <w:p>
      <w:r>
        <w:t>Exogenous increases in output differentiation (e.g., higher frequency, more nonstop service, improved schedule convenience) cause increases in firm markups on affected routes, holding costs and demand shocks constant.</w:t>
      </w:r>
    </w:p>
    <w:p>
      <w:r>
        <w:t xml:space="preserve"> </w:t>
      </w:r>
    </w:p>
    <w:p>
      <w:pPr>
        <w:pStyle w:val="Heading2"/>
      </w:pPr>
      <w:r>
        <w:t>Related Work</w:t>
      </w:r>
    </w:p>
    <w:p>
      <w:r>
        <w:t>Existing literature estimates markups and demand using structural demand inversion (BLP-style random-coefficients models) and decomposes productivity/markup changes (Lovell-style decompositions). Prior approaches either ignore explicit product-differentiation channels in markup decomposition or rely on limited instruments and simple ownership definitions. Weaknesses include: (1) under-addressed endogeneity of frequency/convenience (demand shocks correlate with supply choices), (2) sparse instrument construction and limited validation (leading to weak-IV problems), (3) limited treatment of measurement and matching error between fare/tracking datasets, (4) inconsistent handling of codeshares, multi-leg itineraries, and ownership matrices when attributing markups, and (5) computational and reproducibility barriers for dynamic pricing robustness checks. These gaps leave the role of product differentiation in profitability dynamics partially unresolved and sensitive to specification, instrument choice, and data linkage errors.</w:t>
      </w:r>
    </w:p>
    <w:p>
      <w:r>
        <w:t xml:space="preserve"> </w:t>
      </w:r>
    </w:p>
    <w:p>
      <w:pPr>
        <w:pStyle w:val="Heading2"/>
      </w:pPr>
      <w:r>
        <w:t>Abstract</w:t>
      </w:r>
    </w:p>
    <w:p>
      <w:r>
        <w:t>This project develops and implements a prespecified decomposition of annual markup changes that explicitly incorporates product differentiation as an economic driver and applies it to two decades of U.S. airline data. At a high level, we estimate a random-coefficients discrete-choice demand system (BLP-style) and recover markups and marginal costs via an equilibrium pricing condition; we then decompose year-to-year changes in firm-level and industry-level markups into channels attributable to (i) product differentiation (changes in observable output attributes), (ii) demand elasticity shifts, (iii) product mix, and (iv) cost movements. Main contributions are: (a) a formal identification plan with prioritized instruments (exogenous aircraft-availability shocks, fuel×distance, slot/infrastructure events), (b) a Monte Carlo calibration suite that measures small-sample and weak‑IV behavior, and (c) reproducible ETL, matching, and solver diagnostics. Expected outcome: transparent, testable estimates of how differentiation drives profitability across carriers and market types, with clear sensitivity to instruments, matching rules, and ownership definitions.</w:t>
      </w:r>
    </w:p>
    <w:p>
      <w:r>
        <w:t xml:space="preserve"> </w:t>
      </w:r>
    </w:p>
    <w:p>
      <w:pPr>
        <w:pStyle w:val="Heading2"/>
      </w:pPr>
      <w:r>
        <w:t>Experiments</w:t>
      </w:r>
    </w:p>
    <w:p>
      <w:r>
        <w:t>Datasets: DB1B fare-level samples (with DB1B inverse-probability weights), DB1A ticketing where available, T-100 carrier operator seat totals, Cirium/FlightAware tail-level out-of-service indicators, OPIS/BP weekly jet fuel spot prices, FAA slot and airport infrastructure event logs, carrier financials for profitability metrics. Sample: weekly carrier×origin-destination (O&amp;D) product panel, baseline years 2015–2019 (pre-COVID). Baselines: (A) static BLP mixed-logit (random coefficients on price, frequency, nonstop, schedule convenience), (B) naïve OLS/linear demand IV, (C) BLP without explicit differentiation in cost decomposition. Main estimator: two-step GMM using BLP inversion moments E[Z'ξ]=0 with clustered HAC (cluster=market) covariance. Instruments and IV tests: primary instruments = aircraft-availability shocks (event dummies), fuel_t × dist_m (jet fuel spot × great-circle distance), secondary = slot/reassignment and airport shocks; report partial R2, first-stage F, Kleibergen–Paap rk, Anderson–Rubin (AR) and CLR when weak. Matching: deterministic join key (marketed_carrier+flight# + date + origin + dest + sched_dep ±30min), baseline match_confidence ≥0.9; sensitivity 0.7–0.9. Weighting: DB1B Hajek normalization then post-stratify to T-100 seats by carrier×market×week; propagate weights into GMM. Monte Carlo: ≥1,000 draws per DGP calibrated to empirical moments (mean fare ≈ $250, own-price elasticity ≈ −1.8, mean Lerner ≈ 0.12); scenarios = baseline, moderate endogeneity, weak-IV, match-error (0%,5%,10%), dynamic-pricing bias, structural fuel shocks, supply persistence. Ablations/comparisons: (1) static BLP vs dynamic discrete-offer approximation (fare buckets × remaining seats), (2) full decomposition vs decomposition excluding differentiation channel, (3) IPW match_confidence vs multiple imputation (MI) with Rubin pooling, (4) ownership matrices A–E (marketed, operating, parent-consolidated, codeshare-integrated, JV-integrated). Evaluation metrics: estimator bias and RMSE (from MC), 95% CI coverage, first-stage partial R2 and F, Kleibergen–Paap, AR/CLR set widths, markups/Lerner distributions, route-level elasticity RMSE, welfare decomposition components (consumer surplus, producer surplus, interaction term). Reproducibility: publish seeds, minimal runnable examples (tiny synthetic panel + full pipeline), and solver diagnostics (convergence traces, Jacobian condition numbers, multiple starting points).</w:t>
      </w:r>
    </w:p>
    <w:p>
      <w:r>
        <w:t xml:space="preserve"> </w:t>
      </w:r>
    </w:p>
    <w:p>
      <w:pPr>
        <w:pStyle w:val="Heading2"/>
      </w:pPr>
      <w:r>
        <w:t>Risk Factors And Limitations</w:t>
      </w:r>
    </w:p>
    <w:p>
      <w:r>
        <w:t>Technical failure modes: weak instruments (first-stage F&lt;10) that produce wide or noninformative confidence sets; non-convergence of BLP price equilibrium or dynamic solver on large markets; Monte Carlo not matching empirical complexity. Data biases: match errors between DB1B/DB1A and T-100 (nonrandom mis-matches), incomplete coverage of tail-level out-of-service events, and missing slot/airport policy data; these can bias both demand and cost recovery. Measurement issues: nonclassical price noise (e.g., fare bucketing) and codeshare ambiguity that alter attribute measurement and markup attribution. Scalability/compute: high CPU and memory needs for large-scale BLP, homotopy, and dynamic approximations (500+ CPU hours may be insufficient), causing limited runs or reduced state aggregation. Identification limits: the fuel×distance instrument may be contaminated by common fuel shocks unless carrier exposure (fleet mix) is correctly specified; event instruments may violate exclusion if carriers adjust supply anticipating demand. Generalizability: results are specific to U.S. carrier networks, sample years, and pre-COVID market structure and may not transfer to other countries, time periods, or post-pandemic dynamics.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