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epistemic_virtue_team_rct</w:t>
      </w:r>
    </w:p>
    <w:p>
      <w:r>
        <w:t xml:space="preserve"> </w:t>
      </w:r>
    </w:p>
    <w:p>
      <w:pPr>
        <w:pStyle w:val="Heading2"/>
      </w:pPr>
      <w:r>
        <w:t>Title</w:t>
      </w:r>
    </w:p>
    <w:p>
      <w:r>
        <w:t>A cluster-randomized trial and computational calibration to test whether increasing individual epistemic virtue improves collective scientific reliability</w:t>
      </w:r>
    </w:p>
    <w:p>
      <w:r>
        <w:t xml:space="preserve"> </w:t>
      </w:r>
    </w:p>
    <w:p>
      <w:pPr>
        <w:pStyle w:val="Heading2"/>
      </w:pPr>
      <w:r>
        <w:t>Short Hypothesis</w:t>
      </w:r>
    </w:p>
    <w:p>
      <w:r>
        <w:t>Increasing average individual epistemic virtue within research teams causes higher collective replication success than teams without such increases.</w:t>
      </w:r>
    </w:p>
    <w:p>
      <w:r>
        <w:t xml:space="preserve"> </w:t>
      </w:r>
    </w:p>
    <w:p>
      <w:pPr>
        <w:pStyle w:val="Heading2"/>
      </w:pPr>
      <w:r>
        <w:t>Related Work</w:t>
      </w:r>
    </w:p>
    <w:p>
      <w:r>
        <w:t>Existing approaches explain the success of science mainly by structural factors: market-like incentives, credit assignment rules, and division of cognitive labor that allegedly produce reliable results without relying on individual moral or intellectual character. Other work studies credibility failures in specific fields and proposes institutional reforms (e.g., preregistration, transparency, incentives). Limitations: structural accounts often assume aggregated incentives alone suffice and rarely provide micro-level causal tests linking individual dispositions to team outcomes; measurement of individual epistemic virtue is uneven and largely self-report; interventions typically change policies not persons, leaving open whether virtues causally shape institutional resilience; computational models of science often lack empirical calibration with sequence-level behavioral traces. The credibility crisis exposes gaps in purely structural accounts but prior work does not jointly combine validated individual-level measures, experimental manipulation, network data, and calibrated agent-based models to test causality.</w:t>
      </w:r>
    </w:p>
    <w:p>
      <w:r>
        <w:t xml:space="preserve"> </w:t>
      </w:r>
    </w:p>
    <w:p>
      <w:pPr>
        <w:pStyle w:val="Heading2"/>
      </w:pPr>
      <w:r>
        <w:t>Abstract</w:t>
      </w:r>
    </w:p>
    <w:p>
      <w:r>
        <w:t>This project tests whether individual epistemic virtues (stable traits such as intellectual humility, openness to critique, and diligence in checking) causally contribute to collective scientific reliability. We combine a cluster-randomized trial across research teams with repeated experience-sampling, validated psychometrics, behavioral tasks, digital-trace measurement (preregistrations, commits, corrigenda), communication networks, and an agent-based model (ABM) calibrated by approximate Bayesian computation (ABC-SMC). Primary outcomes are team-level replication success (proportion of pre-registered direct replications meeting a pre-specified criterion), prediction skill (team Brier score; lower is better; Brier score measures accuracy of probabilistic forecasts), and time-to-correction (median days from identified substantive error to public correction). The main contribution is an operational, reproducible measurement and intervention pipeline that isolates individual virtue effects from structural incentives and quantifies spillovers via network exposure models. Expected outcome: clear, testable evidence on whether and how cultivating epistemic virtue improves or complements institutional reforms for reliable collective knowledge production.</w:t>
      </w:r>
    </w:p>
    <w:p>
      <w:r>
        <w:t xml:space="preserve"> </w:t>
      </w:r>
    </w:p>
    <w:p>
      <w:pPr>
        <w:pStyle w:val="Heading2"/>
      </w:pPr>
      <w:r>
        <w:t>Experiments</w:t>
      </w:r>
    </w:p>
    <w:p>
      <w:r>
        <w:t>Design: cluster-randomized controlled trial (cluster = research team). Arms: (A) leader-focused virtue training (skill and behavior modules), (B) structural incentive change (e.g., transparent credit and correction incentives), (C) combined A+B, (D) active control (general research management training). Randomize teams stratified by discipline and baseline virtue-density. Datasets: team-level pre-registered replication attempts (collected during trial), team forecast logs (for Brier scores), ESM responses (3 prompts/day for 4-week bursts), validated self-report virtue scales, behavioral task scores, peer ratings, and digital traces (preregistration timestamps, code commits, corrigenda). Baselines: status-quo (no targeted intervention) and structural-only arm as comparison. Evaluation metrics: replication success = proportion of direct replications meeting criterion (same sign AND 95% CI excluding zero OR Bayes factor ≥3); prediction skill = team Brier score (lower is better); time-to-correction = median days from identified substantive error to public correction (log-normal modeling). Secondary measures: individual composite virtue V_i (weighted z-sum of self-report, behavior, ESM, peer), team virtue-density (mean and variance), leader-virtue L_team (eigenvector-centrality weighted mean). Analysis: primary estimand = cluster-level ITT estimated with Bayesian hierarchical models (team random effects). Report per-protocol and CACE via multilevel IV (assignment instrument). Handle multiplicity by prespecifying co-primary outcomes and Bayesian decision thresholds (declare effective if posterior Pr(effect≥MIE)≥0.95 with MIE=+0.10 for replication-rate). Sample sizing: publish simulation grid sweeping ICC∈{0.01,0.05,0.10,0.20}, team size m∈{4,6,8}, effect Δ∈{0.05,0.10,0.20}; example benchmark: Δ=0.10, ICC=0.05, m=6 → ~40 clusters/arm for ≈80% power under 10% cluster dropout and 15% individual attrition. Ablation studies: (i) remove leader-targeted component to test leader-mediated effects; (ii) replace behavioral task weight with zero to test contribution of observed behavior to V_i; (iii) vary centrality definition (eigenvector vs degree). Interference/spillover tests: preregister fractional treated-neighbors exposure model (exposure = proportion of a team’s direct collaborators assigned to treatment within prior 90 days) and estimate spillovers with network-based regression and difference-in-means across exposure strata. Calibration: fit ABM to summary statistics using ABC-SMC; validate by posterior predictive checks and forecast skill (Brier, CRPS) on held-out micro-sequences. Missing data: preregister multiple imputation under MAR and MNAR sensitivity ranges. Interim monitoring: Bayesian sequential checks at 25/50/75% information; stop for efficacy if Pr(effect≥MIE)&gt;0.99; stop for harm if Pr(effect≤-MIE)&gt;0.95.</w:t>
      </w:r>
    </w:p>
    <w:p>
      <w:r>
        <w:t xml:space="preserve"> </w:t>
      </w:r>
    </w:p>
    <w:p>
      <w:pPr>
        <w:pStyle w:val="Heading2"/>
      </w:pPr>
      <w:r>
        <w:t>Risk Factors And Limitations</w:t>
      </w:r>
    </w:p>
    <w:p>
      <w:r>
        <w:t>Measurement validity: virtue composites may not fully capture causal dispositions; behavioral tasks and ESM may be biased or gamed. Contamination and interference: network spillovers can dilute contrasts; exposure model may be misspecified. Attrition and dropout: high individual or cluster attrition reduces power; power is sensitive to ICC and requires accurate ICC estimates. Ethical and privacy risks: leader-targeted interventions risk coercion or retaliation; digital-trace linkage may re-identify individuals. ABM limits: model misspecification and insufficient summary statistics can lead to misleading calibration. Statistical challenges: multiple co-primary outcomes complicate interpretation; Bayesian thresholds require careful prior predictive checks. Generalization: results may not transfer beyond sampled disciplines, team sizes, or cultural contexts. Computation and scaling: ABC-SMC and hierarchical Bayesian fits can be computationally heavy for large parameter sweeps. Data protection: differential privacy guarantees may be infeasible at useful utility levels, limiting public release of linked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