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doing_redoing_undoing_gender_de</w:t>
      </w:r>
    </w:p>
    <w:p>
      <w:r>
        <w:t xml:space="preserve"> </w:t>
      </w:r>
    </w:p>
    <w:p>
      <w:pPr>
        <w:pStyle w:val="Heading2"/>
      </w:pPr>
      <w:r>
        <w:t>Title</w:t>
      </w:r>
    </w:p>
    <w:p>
      <w:r>
        <w:t>Mixed-methods pre-registered evaluation of how visibility practices by women tech founders in Germany causally affect institutional gendered outcomes using survey indices, ML-coded traces, natural experiments, and network models</w:t>
      </w:r>
    </w:p>
    <w:p>
      <w:r>
        <w:t xml:space="preserve"> </w:t>
      </w:r>
    </w:p>
    <w:p>
      <w:pPr>
        <w:pStyle w:val="Heading2"/>
      </w:pPr>
      <w:r>
        <w:t>Short Hypothesis</w:t>
      </w:r>
    </w:p>
    <w:p>
      <w:r>
        <w:t>Founders who adopt gender-undoing visibility practices (visibility strategies that decouple leadership from traditional femininity/masculinity) cause larger increases in institutionalized gender-equity outcomes (policy adoption, budget allocation, hiring/promotion changes, repeated uptake) within their local startup ecosystems than founders who adopt gender-conforming visibility practices.</w:t>
      </w:r>
    </w:p>
    <w:p>
      <w:r>
        <w:t xml:space="preserve"> </w:t>
      </w:r>
    </w:p>
    <w:p>
      <w:pPr>
        <w:pStyle w:val="Heading2"/>
      </w:pPr>
      <w:r>
        <w:t>Related Work</w:t>
      </w:r>
    </w:p>
    <w:p>
      <w:r>
        <w:t>Prior work splits into three strands. (1) Gender theory and qualitative studies of entrepreneurship use the doing gender framework to show how founders perform gender in interactions, but they are mostly descriptive and lack causal tests. (2) Quantitative entrepreneurship research measures founder outcomes (funding, growth) and sometimes links visibility to investor reactions using surveys or digital traces, but these studies often use ad hoc indicators, small samples, and limited intersectional controls. (3) Digital and network methods extract founder signals from LinkedIn, pitch decks, and co-founder networks and apply machine learning for scaling, yet they often do not pre-register indices, struggle with GDPR-compliant linkage, and under-address annotation quality and fairness. Limitations across approaches include weak causal identification (few natural experiments), inconsistent measurement of gendered visibility, insufficient treatment of intersectional strata and non-binary respondents, limited transparency on ML annotation and drift, and sparse power/identification diagnostics for network models.</w:t>
      </w:r>
    </w:p>
    <w:p>
      <w:r>
        <w:t xml:space="preserve"> </w:t>
      </w:r>
    </w:p>
    <w:p>
      <w:pPr>
        <w:pStyle w:val="Heading2"/>
      </w:pPr>
      <w:r>
        <w:t>Abstract</w:t>
      </w:r>
    </w:p>
    <w:p>
      <w:r>
        <w:t>This study tests whether and how visibility strategies by women tech founders in Germany reproduce, restructure, or eliminate the masculinity–femininity dualism in startup visibility and whether those strategies cause institutional changes in local ecosystems. We combine qualitative interviews, a pre-registered survey index (Doing/Redoing/Undoing), a German ML-annotated corpus of pitch/interview/bio segments, linked public and administrative records, and network-dynamic models. Causal leverage comes from candidate natural experiments (grant eligibility cutoffs, accelerator admission score thresholds, staggered policy rollouts) analyzed with regression discontinuity and staggered difference-in-differences estimators. Main contributions are (1) an open, validated index for gendered visibility, (2) reproducible ML classifiers and digital-trace linkage under GDPR constraints, and (3) causal estimates and network tests of whether undoing visibility drives institutionalized gender-equity outcomes. Expected outcome: clear, pre-registered evidence on causal pathways from founder visibility practices to institutional adoption, with transparent measurement, fairness checks, and reproducible code and synthetic data releases.</w:t>
      </w:r>
    </w:p>
    <w:p>
      <w:r>
        <w:t xml:space="preserve"> </w:t>
      </w:r>
    </w:p>
    <w:p>
      <w:pPr>
        <w:pStyle w:val="Heading2"/>
      </w:pPr>
      <w:r>
        <w:t>Experiments</w:t>
      </w:r>
    </w:p>
    <w:p>
      <w:r>
        <w:t>Datasets: (A) Qualitative interviews: 40–60 women founders + 20–30 ecosystem actors (German). (B) Survey: N=400–600 women founders plus matched male sample; core variables include 10–15 Likert items per index candidate. (C) ML corpus: 1,500–2,000 labeled German segments from pitch transcripts, LinkedIn bios, interviews. (D) Administrative/public: EXIST/state grant eligibility lists, accelerator ranked shortlists, Handelsregister/Bundesanzeiger, Crunchbase/Dealroom records. Baselines: (i) no-index analysis using raw items; (ii) prior ad hoc coding schemes; (iii) network null models (permutation nulls); (iv) ML baseline: logistic/regression models on TF-IDF. Evaluation metrics: Index validation: EFA loadings (retain ≥|0.40|), CFA fit (CFI≥0.95 primary; fallback CFI≥0.90), RMSEA, SRMR, reliability omega≥0.80, and IRT graded-response model fit (item discrimination, information). ML: precision, recall, F1 (target F1≥0.80), confusion matrices, subgroup F1s, calibration error (ECE). Causal: local average treatment effect (LATE) from RD, average treatment on treated (ATT) from DiD (Callaway &amp; Sant’Anna; Sun &amp; Abraham), standard errors clustered at firm/accelerator level, Oster bounds, Rosenbaum sensitivity. Network: SAOM/temporal ERGM convergence, goodness-of-fit, AIC/BIC, permutation tests for endogeneity. Experimental setup: Pre-register primary outcomes (institutionalized score aggregated from four domains: policy, budget, hiring, repeat adoption) and two secondary outcomes (investment rate, network centrality). Multiplicity: apply Benjamini-Hochberg FDR for family of primary tests and hierarchical testing for secondary outcomes (primary family first, then secondary if primary significant). Split sample: randomly split survey into training (60%) and holdout (40%) for CFA/IRT and causal checks. Index construction: run EFA (oblique rotation) on training, then CFA on holdout; IRT graded-response models as sensitivity. Missing data: FIML primary; MI (m=20) sensitivity; pre-register pattern-mixture MNAR sensitivity for attrition-prone outcomes. RD/DiD specs: implement McCrary density test, IK and CCT bandwidth selectors, local-linear estimates, polynomial-order sensitivity, placebo cutoffs, and covariate continuity tests. ML pipeline: seed 300 labels, active learning to 1,500–2,000, double-code 25% for Krippendorff's alpha≥0.7, hold out 20% OOS; ablation comparisons: (A) EFA/CFA vs IRT for index; (B) ML with vs without SMOTE (synthetic minority over-sampling) and with vs without active learning; (C) SAOM vs temporal ERGM for network hypotheses. Intersectional and non-binary rules: pre-specify strata: migration background, sector, firm age (&lt;=2y, 3–5y, &gt;5y), primary caregiver status, socioeconomic parental background, and non-binary identity. Minimum cell rules: if a stratum cell has n≥80 analyze as separate group; if 30≤n&lt;80 use hierarchical multilevel models pooling with partial pooling (random effects); if n&lt;30 do not report separate quantitative estimates but report qualitative synthesis. Non-binary quantitative rule: if non-binary n≥80 treat as separate category; if 30≤n&lt;80 include in pooled hierarchical model with sensitivity checks excluding them; if n&lt;30 treat as qualitative-only. Pre-registration: all model specifications, covariates forced (firm age, sector, founding team size, region) and optional covariates listed and not data-driven selection. Reproducibility: publish cleaned code, container (Docker) and synthetic datasets after GDPR review.</w:t>
      </w:r>
    </w:p>
    <w:p>
      <w:r>
        <w:t xml:space="preserve"> </w:t>
      </w:r>
    </w:p>
    <w:p>
      <w:pPr>
        <w:pStyle w:val="Heading2"/>
      </w:pPr>
      <w:r>
        <w:t>Risk Factors And Limitations</w:t>
      </w:r>
    </w:p>
    <w:p>
      <w:r>
        <w:t>Technical failures: low recruitment yields (&lt;300 survey completes) reduce power and may prevent subgroup analyses; small network snapshots may not meet SAOM/TERGM observation needs. ML failure modes: annotation drift, low inter-annotator agreement, class imbalance causing poor subgroup F1s, and synthetic augmentation (SMOTE) introducing label leakage. Measurement limits: ordinal Likert items may violate IRT assumptions; skewed response styles could bias indices. Causal identification limits: RD/IV sources may fail continuity assumptions or show manipulation; staggered DiD may face heterogeneous treatment timing bias and weak parallel trends. Data and evaluation biases: nonresponse and selection bias in survey and consent-for-linkage, coverage bias in public digital traces (founders with little online presence omitted), and intersectional small-cell bias. GDPR/legal constraints: DPIA or legal review may block linkage or scraping, limiting digital-trace analyses. Scalability and compute: fine-tuning transformer models on German data and SAOM estimation may require substantial compute and time. Generalization limits: results are specific to German tech startup ecosystems and time period and may not generalize to other countries or sectors.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