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santander_export_growth_causal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Causal evaluation of contingent export finance guarantees on firm export value in Santander, Colombia using randomized and staggered-adoption estimators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Providing contingent export finance guarantees to eligible exporting firms in Santander causes at least a 20% increase in monthly export value within 12 months compared to firms without guarantees.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applied work on export policy uses randomized trials for clear causal identification and difference-in-differences (DiD) or staggered-adoption DiD for phased rollouts. Recent methodological studies show standard two-way fixed-effects DiD can give biased estimates under staggered adoption and heterogeneous effects; alternative estimators (group-time ATT approaches) correct some bias. Empirical analyses commonly transform export value using logs, which handles skew but fails with many zero exports; alternatives include Poisson pseudo-maximum likelihood (PPML), two-part/hurdle models, and zero-inflated models. Survival methods (Cox) are used for time-to-export outcomes but require careful handling of competing risks. Small-cluster inference is a known weakness: conventional cluster SEs can be unreliable with few clusters, prompting wild bootstrap or randomization inference. Record linkage literature shows deterministic hashed IDs are precise but incomplete; probabilistic linkage (Fellegi–Sunter) improves match rates but introduces measurement error. Privacy-preserving linkage (Bloom filters, PSI/SMC) trades security for complexity and performance. Key unresolved issues: handling zeros/heavy tails in causal inference, inference with few clusters, systematic linkage bias (non-classical), and operational trade-offs for PSRL scalability.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study tests whether contingent export finance guarantees increase exporters’ monthly export value in Santander, Colombia. We combine a randomized controlled trial (RCT) of finance guarantees with observational and staggered-adoption analyses for complementary interventions. The primary method for the RCT is intention-to-treat analysis with ANCOVA adjustment. For phased rollouts we pre-specify group-time average treatment effects using Callaway &amp; Sant’Anna estimators to avoid biases of standard two-way DiD; event-study checks will use Sun &amp; Abraham style contrasts. To handle many zero-valued shipments and heavy tails, the primary outcome model for export flows uses Poisson pseudo-maximum likelihood (PPML, a model robust to zeros and skew), with sensitivity checks including two-part and log(1+value) OLS. We pre-specify survival models for time-to-export and competing-risk analyses for firm exit. Linkage uses partner-salted hashed IDs deterministically and Fellegi–Sunter probabilistic matching where needed; measurement-error corrections (SIMEX) and multiple-imputation rules are pre-registered. Main contributions: exact estimands, pre-specified handling of zeros and small-cluster inference, and operational linkage/privacy protocols so that causal estimates are robust and reproducible.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(1) Customs exports for Santander 2010–2020 at shipment level (HS6, date, value, tax ID); (2) partner platform logs and timestamps; (3) bank transaction and guarantee disbursement records; (4) firm surveys and financial statements (balance-sheet items, working-cap days); (5) pilot operational logs. Baselines: (A) no-intervention control firms; (B) naive two-way FE DiD and log-OLS; (C) Tobit and standard Cox survival. Primary evaluation metrics: ITT and ATT on monthly export value (reported as percent change and log-difference), hazard ratio for time-to-first-export, two-year export survival difference (absolute percentage points), door-to-door lead time mean difference (days), and changes in PRODY/HS sophistication and destination count. Primary estimators and models: RCT — ANCOVA and difference-in-means; phased rollouts — Callaway &amp; Sant’Anna group-time ATTs (primary) with Sun &amp; Abraham event-study robustness; export flows — PPML (primary), sensitivity: log(1+value) OLS, two-part (binary participation + continuous positive value), zero-inflated and Tobit variants; survival — Cox PH (primary), Royston-Parmar and Fine-Gray for competing risks. Linkage and measurement: deterministic match on partner-salted SHA256 tax ID; probabilistic Fellegi–Sunter matching with thresholds 0.95 accept / 0.80–0.95 clerical review / &lt;0.80 reject; record match scores saved. Measurement-error corrections: SIMEX adjustment for regression attenuation and multiple-imputation for missing timestamps. Small-cluster inference: wild cluster bootstrap-t (Rademacher) and conditional randomization inference; report both p-values and interpret divergence rules. Pre-specifications: primary outcome per pilot, exact estimand definitions (group-time ATT formulas), seeds for randomization, MDEs: finance RCT MDE = 20% log-change, N≈394 (197/arm) recruit 464; management MDE = 10ppt survival with ICC=0.05; logistics MDE = 2.5 days lead-time with ICC=0.10. Ablation studies: (1) PPML vs log(1+value) OLS vs two-part model on same sample; (2) SIMEX vs no SIMEX for matched vs unmatched records; (3) inference methods comparison: cluster-robust SEs vs wild bootstrap vs randomization inference for clusters=8,12,20. Adjustment and multiple-testing: Romano–Wolf stepdown for primary families and Benjamini–Hochberg FDR for secondary families. All analyses run with containerized code, fixed random seeds, and pre-registered scripts.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Low recruitment or higher-than-expected attrition reducing power; treatment spillovers across firms or geographies violating no-interference assumptions; many zero-valued shipments and heavy-tailed export values causing model misspecification if primary model choice fails; small number of clusters (&lt;10) undermining reliable cluster inference and producing divergent p-values across methods; systematic linkage bias (missing or mis-linked records) that is non-classical and not fully corrected by SIMEX; clerical review sample bias if not representative; privacy-preserving linkage (Bloom filters) vulnerability to frequency attacks and parameter sensitivity; PSI/SMC methods may be computationally heavy and slow for partner data sizes; seasonality and macro shocks (FX, commodity cycles, pandemics) may confound estimates if not fully captured; results may not generalize beyond Santander, the 2010–2020 period, or to different trade-policy contexts; limited ability to detect heterogeneous effects for small subgroups due to sample size constraints.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