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effectuation_precommitment_international_performance</w:t>
      </w:r>
    </w:p>
    <w:p>
      <w:r>
        <w:t xml:space="preserve"> </w:t>
      </w:r>
    </w:p>
    <w:p>
      <w:pPr>
        <w:pStyle w:val="Heading2"/>
      </w:pPr>
      <w:r>
        <w:t>Title</w:t>
      </w:r>
    </w:p>
    <w:p>
      <w:r>
        <w:t>Causal evaluation of pre-commitment and real-options reasoning on SME foreign market entry and international performance using experiments and quasi-experimental identification</w:t>
      </w:r>
    </w:p>
    <w:p>
      <w:r>
        <w:t xml:space="preserve"> </w:t>
      </w:r>
    </w:p>
    <w:p>
      <w:pPr>
        <w:pStyle w:val="Heading2"/>
      </w:pPr>
      <w:r>
        <w:t>Short Hypothesis</w:t>
      </w:r>
    </w:p>
    <w:p>
      <w:r>
        <w:t>A one-standard-deviation increase in firm pre-commitment intensity (contractual or relational) causes a higher probability and faster timing of foreign market entry and increases year-ahead export growth for SMEs.</w:t>
      </w:r>
    </w:p>
    <w:p>
      <w:r>
        <w:t xml:space="preserve"> </w:t>
      </w:r>
    </w:p>
    <w:p>
      <w:pPr>
        <w:pStyle w:val="Heading2"/>
      </w:pPr>
      <w:r>
        <w:t>Related Work</w:t>
      </w:r>
    </w:p>
    <w:p>
      <w:r>
        <w:t>Prior work links entrepreneurial effectuation and real-options reasoning to internationalization, using case studies, surveys, and small experiments. Common methods include cross-sectional regressions, partial least squares structural equation modeling (PLS-SEM), and qualitative process tracing. Limitations: (1) Endogeneity and reverse causality are often unaddressed—firms that plan to export may report more pre-commitment after the fact. (2) Measurement relies on self-reports with limited validation and weak measurement-invariance testing across contexts. (3) Few studies combine randomized manipulations with real behavioral outcomes; experiments often use hypothetical choices without linkage to firm performance. (4) Natural-experiment approaches are underpowered or lack precise treatment timing and spatial controls. (5) Mechanisms (signaling vs resource mobilization) remain poorly separated because mediators are observational and not instrumented. These gaps limit causal claims and cross-country generalization.</w:t>
      </w:r>
    </w:p>
    <w:p>
      <w:r>
        <w:t xml:space="preserve"> </w:t>
      </w:r>
    </w:p>
    <w:p>
      <w:pPr>
        <w:pStyle w:val="Heading2"/>
      </w:pPr>
      <w:r>
        <w:t>Abstract</w:t>
      </w:r>
    </w:p>
    <w:p>
      <w:r>
        <w:t>This study tests whether firm pre-commitments—outgoing promises or incoming partner commitments, in contractual or relational form—causally affect small and medium enterprises' (SMEs) creation of foreign market entry opportunities and subsequent international performance. We combine randomized vignette and lab-in-field experiments with quasi-experimental identification (dateable natural shocks and instrumental variables) and panel analyses to estimate causal effects and trace mechanisms. Key contributions: (1) a preregistered factorial experiment that manipulates type (outgoing vs incoming), modality (contractual vs relational), intensity, and visibility to isolate signaling versus resource-mobilization pathways; (2) an IV/DiD event-study strategy using regional partner entry, procurement awards, and credit shocks to estimate population ATEs; (3) mediation inference using randomized mediators where possible and instrumental mediation otherwise; and (4) measurement validation (cognitive interviews, EFA/CFA, invariance tests) and reproducible data pipelines. Expected outcome: clear causal estimates of how pre-commitments impact entry timing and export growth, characterization of the dominant mechanisms, and identification of experiential learning as a moderator.</w:t>
      </w:r>
    </w:p>
    <w:p>
      <w:r>
        <w:t xml:space="preserve"> </w:t>
      </w:r>
    </w:p>
    <w:p>
      <w:pPr>
        <w:pStyle w:val="Heading2"/>
      </w:pPr>
      <w:r>
        <w:t>Experiments</w:t>
      </w:r>
    </w:p>
    <w:p>
      <w:r>
        <w:t>Datasets: (1) Survey panel: baseline pilot of New Zealand SMEs (n=332) extended to a multi-country panel target N≈1,000 unique firms and 800–1,200 firm-years for event analyses; (2) Vignette experiment: N≈800 across arms; (3) Lab-in-field behavioral arm: N≈150–250. Baselines: control arm (no pre-commitment), signaling-only, resource-mobilization-only, mixed treatments. Evaluation metrics: probability of new foreign-market entry within 12 months (binary), time-to-entry in months (survival/hazard), year-ahead export growth rate (%), export intensity (exports/sales), partner-offer count (integer), perceived credibility (Likert 1–7). Experimental setup: factorial randomization Type (outgoing/incoming/control) × Modality (contractual/relational) × Intensity (low/medium/high) × Visibility (private/public); block randomization on firm size and prior export experience; intensity anchors pre-calibrated (low 1–3% sales, medium 5–10%, high &gt;15% sales). Power targets: vignette N≈800 to detect d≈0.25; lab N≈150–250 for d≈0.30. Identification and estimators: (a) randomized arms analyzed by intent-to-treat (ITT) OLS and complier average causal effect (CACE) when noncompliance present; (b) quasi-experimental event-study and staggered DiD using Callaway–Sant’Anna estimators; (c) 2SLS IV with first-stage diagnostics (F&gt;10, Kleibergen–Paap) for natural instruments; (d) mediation: Imai causal mediation for randomized variation and instrumental mediation (2SLS) when mediator is endogenous. Comparisons and ablations: (1) contractual vs relational modality ablation; (2) outgoing vs incoming treatment comparison; (3) visibility ablation to test signaling channel; (4) intensity ablation and quadratic test for inverted-U (include quadratic intensity term and piecewise spline at tertiles); (5) estimation ablation comparing OLS/FE, 2SLS, Callaway–Sant’Anna, and TMLE/IPW. Pre-specified robustness: lead tests, placebo outcomes (domestic sales, non-export capex), Conley spatial sensitivity (50/150/300 km), cluster-robust SEs, and wild-cluster bootstrap when clusters are few. Technical terms explained: IV (instrumental variable) is a variable used to proxy for the treatment when treatment is endogenous; DiD (difference-in-differences) compares treated vs control trends over time; Callaway–Sant’Anna is a DiD estimator for staggered adoption.</w:t>
      </w:r>
    </w:p>
    <w:p>
      <w:r>
        <w:t xml:space="preserve"> </w:t>
      </w:r>
    </w:p>
    <w:p>
      <w:pPr>
        <w:pStyle w:val="Heading2"/>
      </w:pPr>
      <w:r>
        <w:t>Risk Factors And Limitations</w:t>
      </w:r>
    </w:p>
    <w:p>
      <w:r>
        <w:t>Weak or invalid instruments (low first-stage strength, exclusion violations) may prevent credible IV estimates. Measurement error in self-reported pre-commitment intensity and rigidity can bias estimates and amplify attenuation. Social desirability and common-method bias in survey responses may inflate mediator correlations. Limited sample sizes or low event prevalence reduce power for IV/event-study and mediation tests. Small numbers of clusters risk invalid cluster-robust inference. Noncompliance and attrition in experiments can complicate ITT vs per-protocol interpretation. Results from New Zealand SMEs or pilot countries may not generalize to other institutional contexts. Temporal mismeasurement of event dates may bias event-study estimates. Privacy or DUA constraints may limit public data release and reproducibility. Synthetic or differentially private releases can reduce analytical utility if strict privacy parameters are required.</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