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config_expertise_study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causal repository-mining study of developer engagement and expertise in preprocessor-based configurable software systems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option-level ownership by developers causes a lower rate of misconfigurations in preprocessor-guarded variable code compared to lower ownership.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measure developer expertise using broad activity signals such as commit counts, lines changed, file-level ownership, code-review volume, and social-network centrality. Other work detects configuration faults with lightweight heuristics (keyword search, simple CI-failure matching) or single-project case studies. Limitations: (1) Conventional expertise metrics ignore code variability implemented with preprocessor directives (code sections enabled/disabled at compile-time), so they miss who truly knows guarded code paths. (2) Heuristic labeling is brittle and often unvalidated, producing high false positives/negatives. (3) Prior studies lack large-scale, cross-project validation and often do not link CI matrix coverage or post-merge incidents to developer-level metrics. (4) Time-varying exposures (ownership, engagement) and label misclassification are under-addressed, reducing causal credibility. (5) Privacy and reproducibility practices are inconsistently applied, limiting data sharing and verification.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whether developers who own specific configuration options are less likely to introduce misconfigurations in variable code guarded by preprocessor directives. We mine 25 preprocessor-based configurable software system repositories (0.5–1.0M commits, tens of thousands of contributors), extract canonical option records, parse CI matrices (continuous-integration test axes), and label candidate configuration incidents using automated heuristics plus active-learning annotation. The main contribution is a reproducible pipeline that (1) defines option-level ownership and short-window engagement anchored to each exposure event, (2) evaluates whether standard expertise metrics identify variable-code specialists, and (3) estimates causal contrasts using negative-binomial mixed models for misconfiguration rates, Cox PH frailty models for time-to-fix, and hierarchical logistic models for post-merge incidents. Expected outcome: empirical evidence about how ownership and engagement relate causally to configuration quality, and validated measurement artifacts (schema, heuristics, annotated gold set) for future research.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mirror 25 open-source projects with preprocessor-based variability (Kconfig/CMake/feature-flag systems), target corpus ≈0.5–1.0M commits and ≥25k developers. Annotation: build gold set with N=1,200 (min) to 3,000 validated misconfiguration events using active-learning; dual-code 20% stratified sample for IAR. Baselines: (A) conventional expertise metrics (total commits, lines changed, file-level ownership), (B) naive heuristics (keyword-only, CI-failure-only), (C) no-variable-aware ownership. Metrics: primary outcome misconfigurations per 1,000 commits (rate); classifier metrics precision, recall, AUC; survival metric hazard ratio for median time-to-fix; hierarchical logistic odds ratio for 30-day post-merge incidents; calibration and posterior predictive checks. Setup: compute option-level ownership anchored to each exposure date with 365-day exponential decay; define engagement score in 30-day windows; censor survival at 90 days. Modeling: NB mixed-effects (random intercepts developer, project), Cox PH frailty (developer, project), hierarchical logistic (project, option). Evaluation: cross-project holdout (leave-one-project-out), cross-validation for classifiers, and Monte-Carlo power sims sweeping base rates {0.5%,1.0%,1.5%}, effect sizes (rate ratios 1.2–1.6, HR 1.1–1.5), and misclassification rates {10%,20%,30%}. Ablations: (1) models using conventional vs variable-aware metrics, (2) without active-learning (full heuristic labels), (3) varying ownership thresholds and decay rates, (4) label-noise correction vs naive labels.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parsers may miss option mentions or mis-assign canonical IDs; regex-based CI extraction can yield false matches. Data bias: public open-source projects may not represent closed-source or small projects; contributor activity is uneven, yielding sparse data for many options. Label noise: heuristics and annotator disagreement limit gold-set quality and bias estimates. Time-varying exposures: treatment switching and time-dependent confounding may violate simple identification assumptions. Interference: team- or module-level spillovers (one developer affecting others) can bias individual-level causal estimates. Scalability: parsing CI matrices and large DAGs at scale requires substantial compute and stable provenance; Monte-Carlo and Bayesian models can be compute-intensive. Privacy: redaction and differential privacy reduce utility and may limit public release of fine-grained data. Generalization: results may not transfer across languages, CI systems, or non-preprocessor variability mechanisms.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