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pyrobuilds_incremental_reuse</w:t>
      </w:r>
    </w:p>
    <w:p>
      <w:r>
        <w:t xml:space="preserve"> </w:t>
      </w:r>
    </w:p>
    <w:p>
      <w:pPr>
        <w:pStyle w:val="Heading2"/>
      </w:pPr>
      <w:r>
        <w:t>Title</w:t>
      </w:r>
    </w:p>
    <w:p>
      <w:r>
        <w:t>Controlled reproducible incremental builds for efficient exploration of large configurable software spaces</w:t>
      </w:r>
    </w:p>
    <w:p>
      <w:r>
        <w:t xml:space="preserve"> </w:t>
      </w:r>
    </w:p>
    <w:p>
      <w:pPr>
        <w:pStyle w:val="Heading2"/>
      </w:pPr>
      <w:r>
        <w:t>Short Hypothesis</w:t>
      </w:r>
    </w:p>
    <w:p>
      <w:r>
        <w:t>Using controlled configuration variation (deny lists + mutation-size) together with reuse of incremental build artifacts reduces amortized incremental rebuild wall-clock time by at least 2× compared to current baseline build systems on batched configuration exploration workloads.</w:t>
      </w:r>
    </w:p>
    <w:p>
      <w:r>
        <w:t xml:space="preserve"> </w:t>
      </w:r>
    </w:p>
    <w:p>
      <w:pPr>
        <w:pStyle w:val="Heading2"/>
      </w:pPr>
      <w:r>
        <w:t>Related Work</w:t>
      </w:r>
    </w:p>
    <w:p>
      <w:r>
        <w:t>Existing approaches include traditional incremental build systems and caches (for example, systems that cache by command+inputs) and research on reproducible and hermetic builds (hermetic means an action's outputs depend only on declared inputs). Prior methods either (a) rely on full rebuilds across configuration changes, (b) treat configuration changes conservatively by invalidating large subgraphs, or (c) attempt tracing or parameter-sensitivity analysis with high tracing cost or brittle static analyses. Content-addressed storage (CAS) and binary delta techniques are used to reduce transfer cost, but they are often tuned for single-build reuse rather than repeated, nearby-config exploration. Work on configuration-space sampling rarely integrates build-system-level reuse or formal minimality guarantees. Limitations are: heavy rebuild cost when configuration-sensitive inputs are over-approximated; high runtime or tracing overhead to infer sensitivity; lack of reproducible, signed artifact provenance tied to config projections; and insufficient scaling/sharding designs for million-node build graphs.</w:t>
      </w:r>
    </w:p>
    <w:p>
      <w:r>
        <w:t xml:space="preserve"> </w:t>
      </w:r>
    </w:p>
    <w:p>
      <w:pPr>
        <w:pStyle w:val="Heading2"/>
      </w:pPr>
      <w:r>
        <w:t>Abstract</w:t>
      </w:r>
    </w:p>
    <w:p>
      <w:r>
        <w:t>Exploring very large configuration spaces for highly configurable software (like kernels and toolchains) is costly because small configuration changes can force expensive rebuilds. We propose an approach that speeds exploration by (1) generating controlled configuration variations using deny lists and a mutation-size parameter (to keep new configs near seeds), (2) projecting per-action configuration sensitivity π_v to only include relevant config paths, and (3) reusing incremental build artifacts stored in a signed content-addressed store. Hermeticity (actions depending only on declared inputs) is verified by lightweight syscall tracing; non-hermetic actions fall back to conservative revalidation. The main contributions are: a precise change-detection + forward-closure algorithm with a provable minimality claim under clear assumptions; an operational π_v inference pipeline (static + selective tracing + active refinement); CAS + delta formats and cost models; and an experimental protocol and reproducibility artifacts. Expected outcome: substantially lower amortized incremental rebuild time and bandwidth for batched config exploration while preserving reproducibility and verifiable provenance.</w:t>
      </w:r>
    </w:p>
    <w:p>
      <w:r>
        <w:t xml:space="preserve"> </w:t>
      </w:r>
    </w:p>
    <w:p>
      <w:pPr>
        <w:pStyle w:val="Heading2"/>
      </w:pPr>
      <w:r>
        <w:t>Experiments</w:t>
      </w:r>
    </w:p>
    <w:p>
      <w:r>
        <w:t>Datasets: real repositories (Linux kernel subset, BusyBox, Toybox), compiler suites (LLVM subset), large real slices (Chromium slice, representative Cargo/Rust mono-repo) and synthetic hypergraphs with node counts {10k,100k,1M} and average fanouts {2,4,8}. Baselines: (1) state-of-practice incremental systems (Ninja, Bazel) with their default caching, (2) conservative rebuild (no incremental reuse across configs), (3) variants of Pyrobuilds ablated as described below. Metrics: wall-clock incremental rebuild time per batch, executed actions count, cache-hit rate (fraction of actions whose artifact key found), bytes transferred from remote CAS, delta-apply CPU time, and correctness indicators (declared-output hash equality). Hardware &amp; setup: 64-core Linux builders, 256 GiB RAM, NVMe local storage, 10 Gbps network to remote CAS. Warm-up protocol: run cold, single-seed warm, then representative warm traffic; paired trials performed on identical warmed state. Statistical plan: paired experiments with ≥35 repeats per scenario, report median and bootstrap 95% confidence intervals, and paired Wilcoxon signed-rank tests. Ablation and comparisons: (A) deny-lists enabled vs disabled, (B) mutation-size sweep (small→large) to show tradeoff between reuse and exploration diversity, (C) π_v projected vs π_v=full-config to measure savings from projection, (D) eBPF tracing sampling rates {1%,10%,100%} and N targeted runs {1..5} to quantify detection power and cost, and (E) delta formats comparison (rolling-chunk CAS, xdelta3, OCI layers) measuring bytes saved vs CPU apply. Reproducibility: publish declare_action JSON schema, seed repos, raw (redacted) traces, benchmark harness, CI templates, and analysis notebooks. Ablation study example: measure amortized wall-clock with deny-lists on and off while holding mutation-size constant to quantify the deny-list effect.</w:t>
      </w:r>
    </w:p>
    <w:p>
      <w:r>
        <w:t xml:space="preserve"> </w:t>
      </w:r>
    </w:p>
    <w:p>
      <w:pPr>
        <w:pStyle w:val="Heading2"/>
      </w:pPr>
      <w:r>
        <w:t>Risk Factors And Limitations</w:t>
      </w:r>
    </w:p>
    <w:p>
      <w:r>
        <w:t>1) π_v underspecification: if π_v omits a true config dependency, cached reuse can produce silent incorrect outputs (incorrectness risk). 2) Declared_inputs incompleteness: if an action fails to declare a file it reads, hermeticity assumptions break and reuse becomes unsafe. 3) Non-hermetic and nondeterministic actions: actions that read environment, network, or rely on ASLR/timestamps produce variability that tracing may not fully capture. 4) eBPF sampling limits: low sampling rates can miss rare undeclared accesses (false negatives); full tracing increases overhead. 5) CAS poisoning and concurrent-writer conflicts: content-hash collisions or accepted mismatched metadata threaten integrity unless metadata verification is perfect. 6) Garbage collection / retention: aggressive GC can remove needed artifacts before downstream revalidation; retention policies impose storage cost. 7) Delta apply cost: CPU to apply patches can outweigh bandwidth savings for low-similarity artifacts. 8) Partitioner sensitivity: streaming partitioners may produce poor cuts for adversarial or real-world layouts, increasing cross-shard rebuild traffic. 9) Scalability limits: machinery for trace collection, indices, and per-node metadata may stress memory or IOPS on million-node graphs. 10) Generalization: tuned thresholds (mutation-size, deny-lists, N runs) may not transfer across all projects; observed speedups may depend on artifact determinism and codebase structure.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