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empirical_cgo_analysis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Automated empirical analysis of cgo usage and risks in open-source Go projects using static and dynamic validation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Direct passing of Go pointers to C in cgo code (the pointer-passing idiom) causes a higher incidence of runtime crashes in Go projects than cgo code that does not pass Go pointers.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empirical work has measured cgo prevalence and reported that a modest percentage of Go projects use cgo, mainly for system-level interfaces and performance-sensitive code. Existing studies identified specific runtime failures (for example, pointer-check related crashes) and have proposed temporary runtime fixes and toolchain improvements. Tooling proposals to date focus on vet-like checks, suggested annotations, and manual audits. Limitations of prior work include: reliance on coarse heuristics (for example, naïve import "C" searches), small or non-stratified labeled samples, limited automation for pointer-provenance checks, sparse dynamic validation (running builds/tests), and little treatment of monorepo/module complexity or reproducible toolchain locking. These gaps make it hard to quantify detector accuracy, to link specific idioms (like pointer-passing) to observable harms, or to evaluate how proposed vet fixes behave on real code.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an automated, reproducible empirical study that measures how cgo—the Go foreign-function interface—is used across public open-source Go projects and whether particular cgo idioms relate to runtime harm. We build a multi-stage analysis pipeline: a fast AST-based filter, go tool cgo confirmation, SSA-based pointer-provenance analysis (SSA is a program representation that makes data flow explicit), and optional sandboxed dynamic builds. Using a stratified sample of public repositories and a labeled validation set, we will quantify prevalence, characterize usage purposes, measure detector precision/recall, and test whether pointer-passing idioms correlate with higher crash rates. The main contributions are (1) a tested detection pipeline with measured error rates, (2) empirical estimates of cgo idiom risks and distributions, and (3) evaluation of concrete vet/toolchain change proposals via simulated fixes and compilation tests. Expected outcomes are reproducible prevalence numbers, confusion matrices for detectors, and evidence linking specific idioms to increased runtime crashes.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public non-fork GitHub repositories with Go code, supplemented by GitLab snapshots and proxy.golang.org metadata; filter units by go.mod modules, exclude vendor/ and generated files (files with canonical "Code generated" markers) and respect per-file build tags. Sample sizes: pilot N=200 labeled repos; main prevalence sample N=2,000 stratified on size (small ≤10, medium 11–100, large &gt;100 .go files), activity, age, and stars quartiles; manual labels: ≥400 positive and ≥400 negative examples per primary idiom (pointer-passing, exported callbacks, manual malloc/free, LockOSThread). Baselines: naive import-"C" detector (AST import only), AST+go tool cgo confirmation, and prior published prevalence estimates. Pipeline variants (for ablation): (A) AST-only, (B) AST+go tool cgo, (C) AST+go tool cgo+SSA pointer analysis (SSA = static single assignment form; helps trace pointer flow), (D) C + dynamic sandbox validation (build and inspect binaries). Evaluation metrics: precision, recall, F1, confusion matrices, ROC/AUC for score outputs, calibration (Brier score and reliability diagrams), Wilson 95% CIs for prevalence, Cox proportional hazards for time-to-first-cgo-commit, logistic regression (with covariates log(stars+1), log(code_size_kb+1), age_years, commits_per_year, module_mode, language_mix) to test association between pointer-passing and crashes (report ORs, 95% CI), negative-binomial for C-call counts, Firth correction when events per predictor &lt;10. Dynamic setup: sandboxed containers with no network, 2 CPU cores, 2 GiB memory, per-task timeout 5 min, wall timeout 10 min; record go env -json and x/tools/go/ssa commit hashes for reproducibility. Validation steps: run pilot 200 repos to produce confusion matrices and error taxonomy; run ablation comparing (A)-(C) to quantify benefit of SSA; test vet fix-it suggestions by compiling suggested fixes on a held-out set and report build/behavior differences. Statistical tests: two-sided tests, α=0.05, Benjamini–Hochberg within families. Reporting: full artifact index (repo+commit, toolchain hash, logs), per-stratum weighted and unweighted prevalence, and all code for replication.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Heuristic accuracy: AST and decision-tree rules may yield unacceptable false positives/negatives; the detector may not meet required precision/recall targets. Pointer analysis limits: SSA/pointer analyses may time out or consume large memory on big modules, producing conservative fallbacks that increase false negatives. Build sandbox limits: many real builds require network or more resources; sandbox exclusions will bias dynamic validation toward simpler packages. Sampling bias: public GitHub/GitLab corpora exclude private and corporate code, so results do not generalize to closed-source ecosystems. Toolchain drift: different Go or x/tools versions can change cgo outputs; if toolchain versions are not locked precisely, reproducibility suffers. Labeling noise: manual annotation may disagree, creating uncertainty if Cohen’s kappa thresholds are not met. Legal/licensing constraints: restrictive licenses may prevent storing artifacts or sharing code samples. Vet fix-it correctness: automated suggested fixes that allocate/free C memory or use cgo.Handle may be incorrect in some calling contexts and could introduce semantic changes if applied without careful validation. Resource and cost: SSA and dynamic runs may require more CPU, memory, and storage than estimated, delaying scaling. Generalization limits: findings about idiom-risk associations (for example, pointer-passing → crashes) may be confounded by unmeasured variables and therefore not imply universal causation.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