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agentarceval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AgentArcEval: a scenario-driven evaluation method for architectures of foundation-model-based agents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When comparing three foundation-model-based agent architectures using the AgentArcEval protocol, at least one architecture will differ from another by ≥10 percentage points in Task Success or ≥8 percentage points in Hallucination Rate under the pre-registered tests and sample sizes.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evaluates large language models (LLMs) at the model or task level, and separate lines study tool-enabled agents, retrieval-augmented generation, and calibration methods. Prior evaluation approaches typically treat agents as single-step systems or measure end outputs only, and they often ignore agent composition (multiple skills, tool calls, retrieval), autonomous non-determinism (sampling, seeds), and continuous index/version drift. Limitations include: (1) lack of architecture-level benchmarks that exercise inter-component interactions; (2) weak handling of non-deterministic outputs and per-decision uncertainty; (3) insufficient scenario catalogs that cover multi-step, adversarial, and safety-critical behaviors; (4) small or non-adjudicated goldsets for hallucination detection, which reduce detector reliability; and (5) poor reproducibility of retrieval/index state and model snapshots. These gaps prevent systematic, comparable claims about agent architectures.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AgentArcEval, a method and scenario catalogue for evaluating architectures of foundation-model-based agents. The problem is that agent behavior depends on compound architecture (LLM, tool interfaces, retrieval indices, planners), stochastic decisions, and evolving data; existing evaluations focus on models or final outputs and miss architecture-level failures. AgentArcEval addresses this by (1) using a catalogue of general agent scenarios to generate concrete tests, (2) requiring per-decision confidence outputs and calibration, (3) relying on deterministic validators and near-miss metrics for multi-step tasks, (4) providing a 2,000-item adjudicated goldset to validate automatic hallucination detectors, and (5) pre-specifying statistical plans (mixed-effects models, hierarchical alpha allocation, Monte Carlo power simulations) and run-level snapshotting of models and indices. The main contribution is a reproducible, scenario-driven protocol that produces comparable architecture-level performance estimates for Task Success and Hallucination Rate. Expected outcomes are quantifiable comparisons between architectures, calibrated confidence measures per decision, and reproducible adversarial retrieval tests that expose architecture weaknesses.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 stratified suite of episodes covering six task classes (short transactional, multi-step planning, tool-usage, memory, robustness/adversarial, factual probes). Use 60 held-out tasks per condition. Goldset: 2,000 adjudicated claim-level items with a 500-item held-out validation split and ≥400 positive hallucination examples. Architectures and baselines: compare three agent architectures (A1,A2,A3); baselines: (B0) final-output-only evaluation (no per-decision confidence), (B1) uncalibrated confidences, (B2) no index snapshotting. Seeds and annotators: 5 random seeds, 4 annotators per item with 30% double-blind overlap. Sample sizes: per-condition N ≈353 episodes for detecting Task Success change p0=0.60→p1=0.70 (two-sided α=0.05, power=0.8); N ≈326 for Hallucination 0.20→0.12; use adjusted N≈470 per condition when applying Bonferroni across three pairwise contrasts (α_per_test≈0.0133); run a pilot at 10–15% (≈40–70 episodes/condition). Metrics: Task Success (binary), Hallucination Rate (binary/claim-level), Step-Match Ratio (fraction), Normalized Final-State Distance (0–1), ECE (10 bins), Brier score, latency, resource usage (GPU-hr). Calibration: aggregate n_samples=10 stochastic draws per decision; fit temperature scaling (parametric) and isotonic regression (nonparametric) on held-out folds. Statistical tests and models: hierarchical gatekeeping α allocation (overall α=0.05; α_primary=0.04 for Task Success and Hallucination Rate; three pairwise Bonferroni tests at α_per_test=0.0133); primary analysis via generalized linear mixed models (GLMMs) with formula logit(P(success_ijkl)) = β0 + β_arch·Arch + β_diff·Difficulty + (1|task) + (1|annotator) + (1|seed) + (0+Arch|task); for counts use negative binomial GLMM; report cluster-robust SEs, permutation tests, and bootstrap CIs. Ablations: (i) remove per-decision confidences, (ii) remove hallucination detector (use human-only labels), (iii) remove index snapshotting (allow retrieval drift), (iv) vary poisoning budgets at 0.1%, 0.5%, 1% in paired clean/poisoned runs. Reproducibility: snapshot model and container images, retrieval indices with checksums, and log seeds; store all API responses and telemetry. Analysis plan: pre-register MDEs and equivalence bounds, report per-architecture estimates with 95% CIs, and run Monte Carlo power simulations over ICC grids (task ICC 0.10–0.30, annotator ICC 0.05–0.15, seed ICC 0.01–0.05) to validate 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GLMM non-convergence, overdispersion or zero-inflation in count outcomes, and unstable calibration with small validation counts. Data and evaluation biases: goldset adjudication bias, annotator drift, and adversarial oversampling that can distort real-world prevalence estimates. Low-prevalence events: hallucination or safety failures may occur at &lt;&lt;1% rates, making unbiased PPV/NPV estimation and power difficult. Compute and scale limits: large per-episode GPU costs for sampling and replication; snapshotting large indices increases storage. Generalization limits: results depend on chosen tasks, retrieval corpora, and tool implementations and may not transfer to other domains or future model versions. Reproducibility risks: hidden randomness in external APIs or non-checksummed indices; comparisons can be confounded if architectures use different hidden data or private models. Ethical/legal constraints: provenance and licensing of index content may limit public release of artifacts. Human labeling limits: achieving high reliability on safety-critical labels may require higher agreement targets than planned, increasing cost and time.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