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refa_devops_iec62443_pilot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Longitudinal evaluation of a REFA-prescriptive DevOps lifecycle for achieving continuous IEC 62443-4-1 security compliance in product teams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Adopting the REFA prescriptive DevOps lifecycle aligned to IEC 62443-4-1 will reduce median time-to-remediate (TTR) for high-severity, machine-detected policy violations by at least 30% versus baseline within three months of rollout.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integrate security into DevOps via GitOps workflows, pipeline guardrails, automated policy-as-code, telemetry-driven detection, and continuous compliance dashboards. These methods improve detection and automation but are often ad hoc, lack a prescriptive lifecycle tied to a specific regulatory standard, and rarely evaluate knowledge transfer to cross-functional teams. Prior pilot studies focus on instrumentation or detection improvements without longitudinal, randomized or cluster-aware designs; they also underreport detection validation (labeled test sets, confusion matrices) and handling of multiple overlapping injected faults. Limitations include missing formal estimands for ITT/per-protocol analyses, weak handling of recurrent events and competing risks, limited reproducibility artifacts, and sparse mixed-methods linkage between telemetry and developer behavior.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REFA, a prescriptive DevOps lifecycle model mapped to IEC 62443-4-1, designed to make continuous security compliance operational for cross-functional product teams. We propose a longitudinal, stepped-wedge cluster rollout and deterministic, pre-registered remediation-detection logic that measures machine-detected seed injections and time-to-remediate (TTR). Main contributions are: (1) a prescriptive lifecycle that maps DevOps activities to IEC 62443-4-1 controls for non-expert practitioners; (2) a seeded-violation manifest and validated detection pipeline to produce reproducible TTR measurements; and (3) a mixed-methods evaluation that links telemetry outcomes to qualitative mechanisms in teams. Expected outcome is a measured reduction in median TTR for high-severity violations and a set of reproducible artifacts (containerized analysis, synthetic telemetry, pre-registered models) that enable transparent assessment of how compliance practices propagate through teams. Results will inform whether prescriptive, standard-aligned DevOps processes speed remediation and internalize compliance knowledge.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Pilot telemetry from 5 product teams (AWS + GitHub) including policy-eval events, CI/CD pipeline runs, git commits/PR merges, actor metadata, and seeded-violation labels; (2) synthetic telemetry generator reproducing schema for validation; (3) labeled validation set of injected seeds with ground-truth remediation timestamps. Baselines: (A) within-team baseline period (pre-intervention stepped-wedge phase); (B) conventional DevOps practice without REFA mapping. Primary metric: median time-to-remediate (TTR) for high-severity, machine-detected seeds measured in hours (time from detection_ts to remediation_event). Secondary metrics: seeded-violation detection sensitivity and false-positive rate (confusion matrix), override rate, blocked-merge resolution time, developer satisfaction (Likert), and seed-level recurrence counts. Evaluation metrics: hazard ratio and 95% CI (Cox PH), Kaplan–Meier survival curves, ICC estimates, medians with bootstrap CI, FDR-controlled p-values for secondary outcomes. Experimental setup: stepped-wedge cluster randomization (cluster=team, unit=team-week) with deterministic RNG; seed schedule = randomized 2 high + 4 medium seeds per team per week (non-production sandboxes). Detection and remediation rules: deterministic Python functions pre-registered to identify remediation_event when a post-change policy-eval passes for policy_id and git diff touches linked artifacts; automated fixes flagged by actor metadata. Primary analysis: Cox proportional hazards with shared gamma frailty (clusters=teams) and covariates = baseline TTR, team size, code churn, service criticality, calendar-time fixed effects. Ablations/sensitivity analyses: (1) seed-level Cox vs aggregated team-week logistic models; (2) remove automated-fix flagging (treat all fixes as human) to assess attribution; (3) vary seed frequency (half vs full) to test power; (4) alternative models: Weibull AFT, Fine–Gray competing-risks (if competing events present), recurrent-event models (conditional frailty and Wei-Lin-Weissfeld) for repeated seeds; (5) missingness tests: inverse-probability-of-censoring weighting (IPCW) and multiple imputation for time-dependent covariates. Validation: report labeled-set confusion matrices by seed severity with target sensitivity &gt;=95% for high seeds. Reproducibility: containerized pipeline, deterministic RNG seeds, and CI to run synthetic-data experiments and pre-registered analysis notebooks.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Detection errors: false negatives or false positives in policy-eval or remediation detection can bias TTR; validation may not generalize. Contamination and interference: cross-team code changes, shared owners, or cascading rollbacks can misattribute remediation and violate independence. Small pilot sample: 5 teams may yield imprecise ICC and underpowered subgroup analyses. Multiple overlapping seeds: temporal overlap creates dependence and attribution ambiguity that complicates estimands. Informative censoring and telemetry loss: missing pipeline or event data may be non-random and bias survival estimates. Model assumptions: proportional hazards may fail (time-varying effects), affecting primary inference. Ethical/legal constraints: seeding even in sandboxes may face IRB or legal limits that constrain realism. Scalability: runtime and storage costs for telemetry and exhaustive re-evaluation (re-running policy-eval) increase with scale. Generalization limits: findings from critical-infrastructure teams and AWS/GitHub tooling may not generalize to other sectors, cloud providers, or legacy toolchains.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