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moma_ac</w:t>
      </w:r>
    </w:p>
    <w:p>
      <w:r>
        <w:t xml:space="preserve"> </w:t>
      </w:r>
    </w:p>
    <w:p>
      <w:pPr>
        <w:pStyle w:val="Heading2"/>
      </w:pPr>
      <w:r>
        <w:t>Title</w:t>
      </w:r>
    </w:p>
    <w:p>
      <w:r>
        <w:t>Preference-conditioned actor-critic framework for continuous multi-objective multi-agent reinforcement learning</w:t>
      </w:r>
    </w:p>
    <w:p>
      <w:r>
        <w:t xml:space="preserve"> </w:t>
      </w:r>
    </w:p>
    <w:p>
      <w:pPr>
        <w:pStyle w:val="Heading2"/>
      </w:pPr>
      <w:r>
        <w:t>Short Hypothesis</w:t>
      </w:r>
    </w:p>
    <w:p>
      <w:r>
        <w:t>Conditioning a centralized critic and a multi-headed actor on objective preferences enables each agent's single neural policy to represent Pareto-optimal trade-offs in continuous multi-objective multi-agent control, yielding higher hypervolume and lower expected regret than training separate single-objective policies or using early scalarization.</w:t>
      </w:r>
    </w:p>
    <w:p>
      <w:r>
        <w:t xml:space="preserve"> </w:t>
      </w:r>
    </w:p>
    <w:p>
      <w:pPr>
        <w:pStyle w:val="Heading2"/>
      </w:pPr>
      <w:r>
        <w:t>Related Work</w:t>
      </w:r>
    </w:p>
    <w:p>
      <w:r>
        <w:t>Existing approaches either (a) optimize a single scalarized objective per policy (early scalarization), (b) train separate policies for different weightings (policy grid), or (c) use multi-agent actor-critic with single-objective returns. Early scalarization compresses multiple objectives to one value before learning and can bias gradients when the scalarizer is nonlinear. Policy-grid approaches are expensive because they train many independent policies and do not share representation across preferences. Recent multi-objective RL methods adapt single-agent multi-objective techniques to multi-agent settings but often assume discrete actions or separate critics per objective, and they do not scale representation of the Pareto front within single policies. Centralized training with decentralized execution (CTDE) is common in multi-agent RL but has been underexplored for preference-conditioned multi-objective problems. Limitations of prior work include lack of continuous-action instantiations, poor sample efficiency when covering the Pareto front, unquantified bias from early scalarization, and insufficient diagnostics for approximation-conditioned failures.</w:t>
      </w:r>
    </w:p>
    <w:p>
      <w:r>
        <w:t xml:space="preserve"> </w:t>
      </w:r>
    </w:p>
    <w:p>
      <w:pPr>
        <w:pStyle w:val="Heading2"/>
      </w:pPr>
      <w:r>
        <w:t>Abstract</w:t>
      </w:r>
    </w:p>
    <w:p>
      <w:r>
        <w:t>We introduce MOMA-AC, a preference-conditioned actor-critic framework for continuous-state, continuous-action multi-objective multi-agent reinforcement learning. Each agent uses a single multi-headed actor network whose outputs are indexed by a preference vector; a centralized critic conditions on global state, joint action, and the same preference vector. This design aims to encode multiple Pareto-optimal trade-offs inside one policy per agent, avoiding the cost of training a policy per preference. We instantiate the framework with continuous-control algorithms (TD3 and DDPG variants) and propose diagnostics (feature conditioning, mixing time, neural tangent checks) to detect function-approximation failure. The main contribution is a scalable CTDE architecture that represents Pareto fronts via preference conditioning and a reproducible experimental protocol to evaluate Pareto quality and preference fidelity. We expect MOMA-AC to improve hypervolume and reduce expected regret relative to independent weighted-sum baselines and standard multi-agent baselines, while enabling a single deployable policy per agent that adapts to externally supplied preferences.</w:t>
      </w:r>
    </w:p>
    <w:p>
      <w:r>
        <w:t xml:space="preserve"> </w:t>
      </w:r>
    </w:p>
    <w:p>
      <w:pPr>
        <w:pStyle w:val="Heading2"/>
      </w:pPr>
      <w:r>
        <w:t>Experiments</w:t>
      </w:r>
    </w:p>
    <w:p>
      <w:r>
        <w:t>Datasets and environments: (1) analytic Pareto tasks with known fronts (for calibration); (2) continuous multi-agent cooperative navigation and resource-allocation tasks; (3) multi-robot coverage with continuous control; (4) predator-prey continuous-action variant; (5) one human-fidelity domain with collected pairwise preference labels (pilot N=20, target 100–200). Baselines: MAPPO, MADDPG, MOSAC (multi-objective SAC), MO-MADDPG, independent SAC per preference weight (policy-grid), and single-objective tuned runs. Metrics: hypervolume (higher is better), inverted generational distance (IGD, lower is better), ExpectedRegret over a preference posterior, per-objective mean returns, calibration of predicted utility (Brier score), TD error distribution, and NTK/conditioning diagnostics (empirical feature covariance min-eigenvalue λ̂_min, mixing time τ̂_mix). Experimental setup: p-grid of 100 evenly spaced simplex points plus 20 Dirichlet-edge samples; evaluate each p with 5 deterministic seeds; training budgets: small tasks 200k–500k env steps, medium tasks 1–3M steps; random seeds: 10 independent seeds per config. Ablations and comparisons: (A) late scalarization (vector-valued critic + scalarize at loss) vs early scalarization (scalar reward) ; (B) multi-headed actor vs single-head per policy-grid; (C) centralized critic vs decentralized critics; (D) TD3 vs DDPG instantiations; (E) monotone-constrained scalarizer vs unconstrained scalarizer. Statistical analysis: report bootstrap 95% CIs over seeds, Holm-Bonferroni corrected pairwise tests, and effect sizes (Cohen's d).</w:t>
      </w:r>
    </w:p>
    <w:p>
      <w:r>
        <w:t xml:space="preserve"> </w:t>
      </w:r>
    </w:p>
    <w:p>
      <w:pPr>
        <w:pStyle w:val="Heading2"/>
      </w:pPr>
      <w:r>
        <w:t>Risk Factors And Limitations</w:t>
      </w:r>
    </w:p>
    <w:p>
      <w:r>
        <w:t>Technical failure modes: critic collapse or misconditioning when empirical feature covariance has near-zero minimum eigenvalue (λ̂_min ≈ 0), violation of NTK/linearization assumptions for neural critics, high variance in preference importance weights, and bias introduced by clipped importance weights. Data and evaluation biases: limited coverage of preference space if posterior sampling is sparse, mismatches between synthetic preference distributions and real human preferences, and human-label noise affecting posterior quality. Scalability and compute: ensembles or NTK diagnostics increase GPU/time costs (multiplicative memory and runtime), and training to cover dense p-grids may be sample-inefficient. Generalization limits: learned preference-conditioned policies may not generalize to out-of-distribution preferences or to substantially different numbers of agents or objectives. Measurement limits: τ_mix (mixing time) estimates assume stationarity; nonstationary dynamics can invalidate ESS corrections and bias finite-sample diagnostics.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