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sim2exp_ssda_concrete_coda</w:t>
      </w:r>
    </w:p>
    <w:p>
      <w:r>
        <w:t xml:space="preserve"> </w:t>
      </w:r>
    </w:p>
    <w:p>
      <w:pPr>
        <w:pStyle w:val="Heading2"/>
      </w:pPr>
      <w:r>
        <w:t>Title</w:t>
      </w:r>
    </w:p>
    <w:p>
      <w:r>
        <w:t>Self-supervised domain adaptation using synthetic coda-wave simulations and adversarial/contrastive learning for concrete damage classification</w:t>
      </w:r>
    </w:p>
    <w:p>
      <w:r>
        <w:t xml:space="preserve"> </w:t>
      </w:r>
    </w:p>
    <w:p>
      <w:pPr>
        <w:pStyle w:val="Heading2"/>
      </w:pPr>
      <w:r>
        <w:t>Short Hypothesis</w:t>
      </w:r>
    </w:p>
    <w:p>
      <w:r>
        <w:t>Applying a self-supervised domain adaptation pipeline that transfers models trained on large-scale labeled synthetic coda-wave data to unlabeled experimental measurements will improve concrete damage classification performance (macro-F1) on real measurements compared to models trained only on available labeled experimental data.</w:t>
      </w:r>
    </w:p>
    <w:p>
      <w:r>
        <w:t xml:space="preserve"> </w:t>
      </w:r>
    </w:p>
    <w:p>
      <w:pPr>
        <w:pStyle w:val="Heading2"/>
      </w:pPr>
      <w:r>
        <w:t>Related Work</w:t>
      </w:r>
    </w:p>
    <w:p>
      <w:r>
        <w:t>Prior work divides into three areas: (1) simulation-driven training and sim-to-real transfer, which use synthetic sensor or image data to train models but often suffer from a simulation-to-reality gap when physics or appearance differ; (2) domain adaptation methods, including domain adversarial training (which forces features to be domain-invariant) and class-confusion regularizers, which reduce distribution mismatch but can fail when simulation artifacts dominate; (3) self-supervised representation learning (e.g., contrastive and bootstrap methods like BYOL) that learns features without labels and can improve transfer, but typically assumes sufficient domain overlap. In structural health monitoring, there are physics-based ultrasonic and coda-wave simulators and ad-hoc synthetic datasets, but prior pipelines lack integrated SSDA that combines adversarial alignment, minimum-class-confusion loss, and BYOL-style self-supervision with large-scale multiscale synthetic coda-wave corpora. Limitations in existing approaches include reliance on limited experimental labels, inadequate fidelity metrics for structural imagery/time-series, unstable spectral divergence estimates, and sparse ablation of simulator vs surrogate trade-offs.</w:t>
      </w:r>
    </w:p>
    <w:p>
      <w:r>
        <w:t xml:space="preserve"> </w:t>
      </w:r>
    </w:p>
    <w:p>
      <w:pPr>
        <w:pStyle w:val="Heading2"/>
      </w:pPr>
      <w:r>
        <w:t>Abstract</w:t>
      </w:r>
    </w:p>
    <w:p>
      <w:r>
        <w:t>We address the problem of classifying concrete damage states from experimental coda-wave and ultrasonic measurements while minimizing dependence on labeled real data. We propose a pipeline that (1) generates a large labeled synthetic corpus using a virtual testing platform that models multiscale concrete degradation and ultrasonic/coda-wave propagation, and (2) transfers those representations to unlabeled experimental measurements using a self-supervised domain adaptation (SSDA) framework. The SSDA combines domain adversarial training (to align feature distributions across domains), minimum class confusion loss (to discourage ambiguous class assignments), and BYOL-style self-supervised pretext learning (to learn robust representations without labels). Main contributions are: an end-to-end simulation-to-experiment transfer recipe for coda-wave signals, reproducible fidelity metrics tailored to structural data (Fréchet Structural Distance, LPIPS with structural embedder, spectral divergence and descriptor Wasserstein), and an ablation suite comparing physics-high-fidelity and procedural surrogates. We expect improved real-data classification accuracy with fewer experimental labels and a reproducible gating protocol to measure simulator realism for downstream model utility.</w:t>
      </w:r>
    </w:p>
    <w:p>
      <w:r>
        <w:t xml:space="preserve"> </w:t>
      </w:r>
    </w:p>
    <w:p>
      <w:pPr>
        <w:pStyle w:val="Heading2"/>
      </w:pPr>
      <w:r>
        <w:t>Experiments</w:t>
      </w:r>
    </w:p>
    <w:p>
      <w:r>
        <w:t>Datasets: (A) Synthetic corpus: 20k–50k labeled scenes generated by a virtual testing platform that samples multiscale concrete degradation (crack fields, spall, corrosion) and simulates ultrasonic/coda-wave propagation; outputs: time-series waveforms per sensor and co-registered imagery/descriptor labels {max_crack_width_mm, spalled_area_pct, rebar_mass_loss_pct, AE_event_rate}. (B) Experimental pilot: ~300 labeled specimens (≈12–20 per damage-mode × severity bin) with paired waveforms, photogrammetry/structured-light labels, and an unlabeled pool of ~5k experimental measurements. Splits: labeled real 60/20/20 train/val/test; unlabeled real used entirely in SSDA. Baselines: (1) supervised real-only (train on labeled real), (2) ImageNet pretrain + supervised real, (3) SimCLR pretrain on synthetic then fine-tune on real, (4) DANN (domain adversarial network) using synthetic labels and unlabeled real, (5) synthetic-only supervised model evaluated on real. Proposed method: SSDA combining BYOL pretraining on mixed synthetic+unlabeled real, domain adversarial loss, and minimum-class-confusion loss with joint training. Evaluation metrics: classification macro-F1, per-class recall/precision, confusion matrices; continuous descriptor RMSE (e.g., crack width); calibration (ECE); simulator fidelity metrics: Fréchet Structural Distance (FSD) in structural-embedder space, LPIPS (structural encoder), spectral divergence (symmetrized KL and Wasserstein on normalized spectra), SNR difference, descriptor-wise Wasserstein-1 and KS tests. Experimental setup: identical architecture backbone (ResNet50 or ResNet18 variants) across methods, input preprocessing fixed, training seeds fixed, 3 random seeds per experiment. Hyperparameters: report learning rates, batch sizes, and weightings for adversarial and MCC loss in notebooks. Ablations: remove each of {adversarial loss, MCC loss, BYOL pretraining} separately; compare high-fidelity physics simulator vs minimal surrogate (procedural crack-field + parametric AE emulator); test with/without AE/ultrasonic neural emulator. Sensitivity studies: vary number of labeled real samples (N=12, 32, 64, 160, 300) and report macro-F1 curve; vary paired sim–exp samples (0, 10, 30, 80) for emulator calibration. Statistical analysis: 95% bootstrap CIs for metrics, paired permutation tests for method comparisons, apply Holm correction for primary metric families. Acceptance check: SSDA must outperform supervised real-only baseline in macro-F1 with p&lt;0.05 and show practical improvement ≥5% macro-F1 to claim benefit.</w:t>
      </w:r>
    </w:p>
    <w:p>
      <w:r>
        <w:t xml:space="preserve"> </w:t>
      </w:r>
    </w:p>
    <w:p>
      <w:pPr>
        <w:pStyle w:val="Heading2"/>
      </w:pPr>
      <w:r>
        <w:t>Risk Factors And Limitations</w:t>
      </w:r>
    </w:p>
    <w:p>
      <w:r>
        <w:t>Simulator–reality mismatch: synthetic physics or textures may omit critical real-world effects, leading to poor transfer. Embedding assumptions: FSD assumes embeddings are Gaussian-like; if not, FSD may be misleading. Spectral metric instability: KL divergence can be undefined or unstable when supports differ; spectral preprocessing choices (windowing, detrending) heavily affect results. Limited paired data: calibration of time-series emulators may require more paired waveforms than budget allows. Measurement noise and labeling error: photogrammetry or structured-light bias/variance in field conditions can reduce label quality and bias evaluation. Compute cost and scalability: high-fidelity simulations and SSL pretraining can require thousands of GPU-hours, limiting repeatability. Overfitting to synthetic artifacts: models may learn simulator-specific cues rather than physical damage features, reducing generalization to field sites or sensors with different transfer functions. Operational heterogeneity: different sensor types, mounting, or environmental conditions may degrade model performance outside tested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