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locomamba_mamba_fusion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Vision-driven quadrupedal locomotion via end-to-end deep reinforcement learning with a MAMBA selective state-space cross-modal fusion backbone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end-to-end PPO policy that fuses proprioception and depth using a stacked MAMBA selective state-space backbone will reduce the sim→real task success drop to &lt;10% and increase held-out terrain success by ≥10% relative to a strong encoder-only baseline when evaluated under the same domain-randomization schedule.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learned quadrupedal locomotion has used: (1) proprioception-only policies that learn robust control but lack foresight from vision; (2) vision+proprioception encoder pipelines where camera images are processed by convolutional neural networks (CNNs) and fused with state features, which often suffer from high sensitivity to appearance changes and limited long-horizon modeling; (3) transformer-like attention memories that capture long context but have quadratic compute and memory costs with sequence length; and (4) state-space models (SSMs) that offer near-linear temporal modeling but have been applied mostly to single-modality sequences. Limitations of these approaches include: poor scaling to long horizons (attention cost), appearance sensitivity of raw-image encoders, inefficient cross-modal fusion that does not exploit selective scanning of state, and limited sim-to-real transfer without heavy domain randomization or fine-tuning. These gaps motivate exploration of selective state-space fusion mechanisms for cross-modal temporal context without the quadratic cost of attention.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vision-driven quadrupedal locomotion by proposing a training and evaluation framework that fuses proprioceptive state and depth imagery into a compact, temporally-aware representation for end-to-end control. The method uses a selective state-space backbone (MAMBA) as a cross-modal fusion module: proprioceptive inputs are embedded via a small multilayer perceptron and depth images are converted to spatial tokens by a lightweight CNN; stacked MAMBA layers then selectively scan and integrate these tokens to produce memory-aware features for a PPO policy. The main contribution is combining selective state-space temporal modeling with cross-modal patch tokens to obtain long-horizon foresight, near-linear time/memory scaling, and reduced sensitivity to visual appearance. We expect the approach to improve held-out-terrain success and robustness to visual and dynamics shifts while keeping inference latency within real-time budgets for on-board deployment. The framework also defines reproducible sim→real gating metrics and pre-registered evaluation to support safe hardware progression.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environments: (1) Sim training environments with varied terrains (flat, slope, stairs, randomized rough ground) and domain-randomization (lighting, textures, friction, latency); (2) Held-out terrain validation set with at least 10 distinct terrain seeds not seen during training; (3) Real robot visual corpus: 20k held-out depth frames and 1k real rollout episodes for gating measurements. Baselines: (A) proprioception-only PPO policy (no vision); (B) encoder-only fusion: CNN depth encoder + MLP proprio encoder fused by concatenation; (C) transformer memory baseline (causal attention over tokens); (D) MAMBA ablations: MAMBA without selective scanning and MAMBA with K∈{8,16,32} memory slots; (E) no-PDR and no-ADR variants. Metrics: held-out terrain success rate (primary), sample efficiency (env steps to reach reward threshold), sim→real task delta (absolute % success drop), embedding MMD between sim and real (RBF kernel), inference latency (ms), energy-per-inference (J), peak torque events (% episodes with torque&gt;80% rating), and recovery probability after N=5 standardized lateral pushes. Experimental setup: use PPO with identical hyperparameters across methods; screening runs with 5 seeds per config and final baselines with 10 seeds; checkpoint selection: choose checkpoint maximizing mean validation performance averaged over last 10 validations; report median and 95% bootstrap CIs (10k resamples) and Cohen's d effect sizes; statistical tests: Wilcoxon rank-sum for pairwise comparisons with Benjamini–Hochberg correction. Ablation study: grid sweep encoder-dimension ∈{64,128,256} × memory K∈{8,16,32}; measure tradeoffs in success, env-steps-to-threshold, latency and energy to produce Pareto fronts. Sim→real gating evaluation: compute MMD(n=5,000) and Gaussian-fit KL (PCA→32 dims); trigger adaptation when MMD≥0.05 or KL≥0.1 and report ROC-like sensitivity analysis varying kernel bandwidth and sample size.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SSM/MAMBA hyperparameters may not converge across terrains, causing instability; selective scanning may underfit fast dynamics. Data and evaluation biases: training terrains and visual corpora may not cover target real-world variability, biasing performance estimates. Scalability and compute: larger encoders or memory sizes increase inference latency and energy, potentially violating on-board budgets; full encoder×K sweeps require thousands of GPU-hours. Sim mismatch: physics or contact models may not represent real robot friction, mass, or sensor latency, causing larger sim→real gaps than thresholds allow. Reproducibility limits: nondeterminism from GPU/driver/OS, missing exact Docker/kernel/driver versions, or incomplete artifact hashing can prevent bitwise replication. Safety and operational limits: QP solver worst-case timing under thermal drift and solver-miss events may cause fallback activations; actuator or sensor failures (camera blackout, IMU dropout) can force safe-stops. Generalization: improvements on evaluated terrains may not transfer to very different morphology robots or environments with adversarial visual changes. Sample-efficiency constraints: collecting real frames for fine-tuning (10k–50k) may be expensive or risky on hardware.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