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adapkoop_pc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human-driven and connected automated vehicle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Embedding an adaptive deep Koopman linear model of heterogeneous human-driven vehicle dynamics into a model predictive controller for connected automated vehicles reduces traffic oscillation energy by at least 30% relative to standard ACC/IDM baselines in Sugiyama ring and open-platoon scenarios with 30% AV penetration under sinusoidal and pulse lead perturbations.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data-driven and physics-informed models for traffic control, Koopman operator methods to linearize nonlinear dynamics, and model predictive control (MPC) or robust/tube MPC for safety. Recent trends apply deep neural nets to learn Koopman embeddings and use predictive controllers for vehicle platoons. Limitations remain: learned Koopman models often lack certified decoder Lipschitz bounds linking latent errors to physical states; finite-sample uncertainty in system identification (A,B) is seldom propagated into MPC tubes; many proposals do not enforce controllability or provide diagnostics for learned linear operators; adversarial Jacobian maxima and bootstrap-based residual CIs are underused; real-time scalability and distributed solver trade-offs (OSQP vs ADMM) are not fully quantified; mapping latent guarantees to physical safety constraints and HIL timing requirements is often incomplete. These gaps make prior methods brittle under heterogeneous human-driver behavior, limited data, and real-time deployment constraints.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Traffic oscillations caused by nonlinear human driving can degrade flow and safety in mixed fleets of human-driven vehicles and connected automated vehicles (CAVs). We propose AdapKoopPC, an adaptive deep Koopman predictive control framework that (1) learns a linear latent representation of heterogeneous human-driven car-following behavior via an adaptive AdapKoopNet, (2) certifies decoder Lipschitz bounds and finite-sample residual uncertainty, and (3) embeds the learned linear model and uncertainty tubes into a scalable MPC for real-time CAV control. Main contributions are: a reproducible procedure to compute conservative and data-driven decoder Lipschitz estimates; a finite-sample empirical-Bernstein/bootstrap pipeline to produce high-confidence tube radii that include system-ID uncertainty; a controllability regularizer for training Koopman operators; and solver benchmarks for centralized (OSQP) and distributed (ADMM) MPC with warm-starting for 10 Hz targets. Expected outcome: provable, auditable reduction in physical oscillation energy and safe real-time control under heterogeneous, naturalistic driving behavior.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scenarios: (1) Naturalistic driving segments for offline pretraining (representative car-following episodes). (2) Deterministic SUMO-based simulation scenarios with seeds: Sugiyama ring (length 230–260 m, N=22–30 vehicles) and open platoon (N=10–40) plus on-ramp bottleneck sketches. Perturbations: sinusoidal lead speed 0.1–0.5 Hz and pulse events. AV penetration grid: {0,10,30,50,70,100}%. Driver-model ensembles: IDM parameter sets (v0=15–30 m/s, T=0.6–1.6 s, a=0.6–1.5 m/s2, b=1.5–2.5 m/s2, s0=1–3 m) and Gipps variants. Training/validation/test split: disjoint seeds and scenarios; held-out validation scenes for CI computation. Baselines: human-driven IDM/Gipps, commercial ACC variant, LQR on linearized platoon, tube MPC with nominal linearization, FollowerStopper, and a non-adaptive deep-Koopman MPC (no Lipschitz or controllability penalties). Metrics: oscillation energy (sum over vehicles of squared speed deviations), spectral energy in 0.1–0.5 Hz band, string-stability gain, stop-start counts, average travel time, RMS acceleration and jerk, P(s_min violation) (probability of violating minimum spacing), MPC solve time cold/warm (ms), and memory. MPC parameters: horizon H=10, latent block dim b=8 per vehicle, target control loop 10 Hz. Uncertainty and certification: compute eps_delta via empirical-Bernstein and block-bootstrap (user δ_sim=1e-3, δ_field=1e-4). Replicates and statistical tests: at least 30 replicates per cell for performance metrics, 100 replicates for safety metrics P(s_min); use paired tests, bootstrap CIs, and Holm correction for multiple comparisons. Ablations and comparisons: (A) full AdapKoopPC vs non-adaptive deep-Koopman MPC vs baselines; (B) with vs without decoder Lipschitz enforcement; (C) with vs without controllability penalty; (D) analytic finite-sample ID bounds vs block-bootstrap Monte-Carlo tubes; (E) solver study OSQP centralized vs ADMM distributed (measure cold/warm runtimes and end-to-end latency). Closed-loop data collection: ε-mixing (ε=0.1) for on-policy rollouts during training iterations. Acceptance criteria: AdapKoopPC achieves ≥30% reduction in oscillation energy vs ACC/IDM at 30% AV penetration and MPC warm solves &lt;25 ms for target cases.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mismatch: learned Koopman linearization may not capture extreme or rare human behaviors, causing decoder bias (decoder maps latent z to physical state x incorrectly). Data limitations: finite-sample ID bounds require sufficient diversity and quantity; small sample counts invalidate analytic bounds and produce wide tubes. Residual heavy tails and temporal dependence: residuals may violate sub-Gaussian or mixing assumptions required for analytic concentration bounds. Computational cost: adversarial Jacobian maximization, block-bootstrap, and Monte-Carlo tube sampling can be expensive and may not meet real-time constraints without bounded-budget approximations. Scalability: controller and tube computations scale with vehicle count; distributed coordination (ADMM) adds communication latency and possible convergence issues. Safety failure modes: underestimated tubes or large decoder bias can lead to physical constraint violations (spacing breaches). HIL and timing constraints: solver jitter, ROS/CAN latency, or CPU limits may prevent 10 Hz loop rates on target hardware. Statistical risk: power requirements for safety metrics (e.g., P(s_min) ≤ 1e-4) may demand impractically many replicates. Outliers: contaminated data can bias bootstrap and ID estimates. Generalization: methods trained on simulated or regional driving styles may not transfer to other traffic regimes or different sensor/noise characteristics.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