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hypergraph_ssm_gnn_node_classification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 with state-space model fusion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role-aware hypergraph embeddings and adjacency-based embeddings via a learnable state-space model (SSM) fusion mechanism improves node classification accuracy compared to GNNs that use adjacency-only or role-agnostic features, measured under the same training budget and data splits.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families. (1) Clique-expansion graph methods convert hyperedges to pairwise edges and then apply standard GNNs; these lose higher-order structure because many group interactions collapse into simple edges. (2) Incidence- or tensor-based hypergraph neural networks operate directly on the incidence matrix (nodes×hyperedges) to preserve higher-order relations, but they often suffer from over-smoothing (representations of many nodes becoming similar), numerical instability for large hyperedges, and high sparse-dense kernel costs. (3) State-space models (SSMs) and DPLR (diagonal plus low-rank) parameterizations have been applied for long-range sequence modeling; they give compact memory for long kernels but can be ill-conditioned when converting to time-domain kernels. Open issues across these families include: stable numeric conversion of low-rank SSM parameterizations, differentiable fallbacks for near-singular cases, efficient fused sparse-dense implementations that conserve mass (sum of features), and unbiased minibatch hyperedge sampling with provable variance behavior.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method that integrates hypergraph structure and state-space modeling to improve node classification. The method constructs a hypergraph incidence operator to capture higher-order group relationships and computes two role-aware representations per node: one from adjacency-style diffusion and one from hyperedge-role features. A learnable transformer-like fusion module uses state-space model (SSM) kernels to combine these streams across multiple hop-lengths, producing richer node embeddings. The model applies hypergraph convolution layers (working on the incidence operator) and residual connections to reduce over-smoothing. Main contributions are: (i) a combined architecture that fuses role-based and adjacency-based embeddings using SSM kernels, (ii) numerically-aware DPLR→time-kernel recipes and a fused sparse-dense operator for stable, mass-conserving propagation, and (iii) an evaluation plan that measures predictive accuracy, calibration, robustness, and compute costs. We expect the fused hypergraph+SSM design to better distinguish higher-order motifs and improve node classification on datasets where group interactions matter.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DBLP (paper-author hyperedges), legislative cosponsorship (bill cosponsor hyperedges), email thread slices, and synthetic datasets: Hypergraph Stochastic Block Model (HSBM, configurable n,m,community rates), planted higher-order motif data, and a cardinality-stress generator with heavy-tailed hyperedge sizes. Baselines: MLP on node features, clique-expansion GCN/GAT (convert hyperedges to pairwise edges), incidence-only hypergraph GNN (no SSM), and incidence+SSM ablation variants. Metrics: node accuracy, micro-F1, macro-F1, Expected Calibration Error (ECE, 10 bins), Area Under Robustness Curve (AURC) for edge perturbations (0–50% deletion/rewire), wall-clock time per epoch, peak GPU memory, and parameter count. Experimental setup: stratified 60/20/20 splits, hyperparameter tuning with random/ASHA ~100 trials per dataset using 3 seeds per trial, final evaluation retrained for 10 independent seeds (report mean±std) and 30 seeds for decisive claims; optimizer AdamW with standard weight decay and gradient clipping. Ablations: (A) remove SSM fusion (role-only or adjacency-only), (B) replace DPLR SSM A with dense A, (C) vary hop-length L in {8,16,32,64}, (D) test sampling schemes: full-batch, uniform edge minibatch, and importance sampling p_e ∝ w_e·√|e|. Unit tests and sanity checks: permutation equivariance (random node permutation), mass conservation when Θ=I and activation is identity, minibatch unbiasedness via Monte Carlo convergence to full P X, and numeric parity of DPLR kernel generation vs dense expm on small blocks. Statistical analysis: paired Wilcoxon signed-rank tests for method comparisons, Holm-Bonferroni correction for primary contrasts, report Cohen's d effect sizes and 95% bootstrap CIs.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Numerical instability: converting DPLR SSM parameters to time kernels can be ill-conditioned when small r×r matrices are near singular or poles are nearly equal; this can cause large kernel values or gradient explosion. Differentiability and fallback paths: fallback algorithms (scaling-and-squaring, small-block expm, Krylov approximations) may not be straightforwardly differentiable, which can complicate end-to-end training and gradient checks. Minibatch estimator variance: importance sampling p_e ∝ w_e·√|e| reduces variance heuristically but may still require large sample sizes for low-variance estimators on skewed hyperedge-cardinality distributions; concentrated variance can bias training if sample sizes are too small. Scalability and compute: precomputing and caching P^k X costs O(n·d·L) memory and may be infeasible for large n or large hop-length L; per-node SSM kernels are memory prohibitive. Over-smoothing and generalization: residual connections mitigate but do not eliminate over-smoothing on deep stacks; models may not generalize to graphs where labels correlate only with fine-grained pairwise patterns. Data and evaluation biases: real hypergraph datasets may have degree–label confounding, causing optimistic accuracy unless controlled splits and ablations are used. Reproducibility: fallback code-paths and hardware differences (FP16 vs FP32) can change numerical behavior; results depend on canonical numeric defaults and environment fingerprints.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