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gnn_aclp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Graph neural network methods for port-level link prediction in analog circuit netlists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Using subgraph-based graph neural networks combined with normalized PEX features and LLM-assisted netlist conversion increases true-impact link detection (impact-precision@20) on analog circuit netlists compared to global-message-passing GNNs and PEX-threshold heuristics, when evaluated with SPICE-verified impact labels.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work on circuit link prediction includes heuristic rules derived from parasitic extraction (PEX) thresholds and distance-based rules, graph neural networks (GNNs) that operate on full-circuit graphs with global message passing, and subgraph-based link predictors such as SEAL that learn from patterns around candidate edges. Existing methods have three main limitations: (1) heuristics rely on brittle, hand-tuned thresholds and do not generalize across process design kits (PDKs) or layout styles; (2) global GNNs can miss fine-grained port-level topological motifs because they aggregate information across the entire graph and do not focus on the local subgraph around a candidate link; (3) data scarcity and heterogeneous netlist formats (multiple SPICE/netlist dialects) reduce reproducibility and prevent direct transfer between datasets. These weaknesses cause low impact-precision in practice, poor calibration of predicted risk, and fragile performance under netlist-format changes.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address port-level link prediction in analog circuit netlists, where the goal is to identify wiring or parasitic connections that materially affect circuit performance. We propose a method that combines subgraph-based graph neural networks for candidate-level prediction, an LLM-assisted netlist format conversion tool to normalize diverse PEX/netlist representations, and an annotated SpiceNetlist dataset to measure performance. The core contribution is a pipeline that (1) extracts a local subgraph around each candidate link and encodes topology, node features, and edge parasitic estimates; (2) uses a subgraph GNN to predict existence and impact-relevant classes; and (3) leverages SPICE perturbation labels and active learning to prioritize costly simulations. Expected outcomes are higher impact-precision and better calibration than global GNNs and PEX-threshold heuristics, a reproducible labeled dataset for analog link prediction, and clearly documented provenance for auditability. The project targets practical deployability across PDKs and measurable designer cost savings in inspection time.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use the SpiceNetlist dataset (775 annotated circuits, 7 circuit families, 10 component classes) plus additional target split of 300 designs stratified over 8 families × 3 PDK versions for active-learning rounds. For format-compatibility tests, include netlists in at least 3 dialects converted via the Netlist Babel Fish tool. Candidate generation: sample ≈2,000 candidate pairs per design using proximity and functional heuristics with the provided negative-sampling pseudocode. SPICE labeling: reserve 30,000 perturbation runs (baseline 4,800 stratified pilot + ≈25,200 AL rounds). Pilot: run 2–5 designs with ≈1,000 SPICE runs to measure heuristic precision/recall. Baselines: (A) PEX-threshold heuristic (C/R cutoffs), (B) distance+layer heuristic, (C) node2vec embeddings + MLP, (D) global GNNs (GCN/GraphSAGE/GIN) with explicit edge features, (E) SEAL-style subgraph GNN, (F) Edge-Transformer variant. Models: proposed SEAL-style subgraph encoder + edge-feature encoders + multi-task heads (existence, link-class, regression for R/C). Training: multi-task loss = weighted focal/BCE (existence) + cross-entropy (class) + Huber (R/C), class weights by inverse prevalence; run Optuna with 200 trials; report results over 20 fixed seeds. Evaluation metrics: impact-precision@k (k=5,10,20), impact-recall, PR-AUC for existence, calibration ECE, top-k impact precision, per-class F1, MAE/RMSE for continuous regression. Ground truth: SPICE-verified impact defined by domain thresholds (examples: DC bias shift &gt;1% or &gt;1 mV, AC magnitude &gt;0.5 dB, Ccouple &gt; max(0.1 fF,1% nodal C)). Experimental setup: 5-fold circuit-level cross-validation stratified by family and PDK, strict no-overlap of near-duplicate circuits across splits. Ablation studies: (1) remove edge encoders (no explicit R/C/via), (2) global message passing only (no subgraph extraction), (3) remove positional encodings, (4) single-task existence head vs multi-task, (5) remove focal/ranking loss, (6) vary AL acquisition weights (0.6/0.3/0.1/−0.2 and alternatives), (7) acquisition variants (entropy, margin, ensemble variance). For each ablation run 20 random seeds. Statistical tests: paired bootstrap 95% CIs (10k resamples), McNemar for per-edge tests, Wilcoxon for per-circuit comparisons, Benjamini–Hochberg correction for multiple comparisons. Resource accounting: record per-run SPICE times, non-convergence counts, and storage; report impact of failed runs on label budgets.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SPICE non-convergence or long tails in simulation time can exhaust the labeling budget; expected non-convergence must be measured in pilot and will reduce usable labels. Data bias: heuristic/PEX labels may have systematic errors across PDKs; if heuristics dominate positives, models can learn label noise. Normalization limits: PEX magnitudes differ by PDK and design size; inconsistent normalization can bias acquisition and training. Scalability: SPICE labeling is costly (median ~60 s/run); large-scale verification beyond 30k runs requires significant compute and storage. Generalization limits: models trained on specific families or PDKs may not transfer to unseen process variants or layout styles. Evaluation sensitivity: the chosen impact thresholds (e.g., 1 mV, 0.5 dB) materially change which links are labeled impactful; results depend on these domain thresholds. Provenance and IP constraints: PDK/IP restrictions can limit data sharing and reproducibility across teams. Statistical risks: active-learning rounds and multiple ablations increase multiplicity; pre-registration of tests and clear seed lists are required to avoid biased reporting. Operational risk: LLM-based netlist conversion may introduce subtle semantic errors in netlists that affect SPICE behavior; these conversion errors are a source of label corruption.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