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quantum_lstm_attention_permeability</w:t>
      </w:r>
    </w:p>
    <w:p>
      <w:r>
        <w:t xml:space="preserve"> </w:t>
      </w:r>
    </w:p>
    <w:p>
      <w:pPr>
        <w:pStyle w:val="Heading2"/>
      </w:pPr>
      <w:r>
        <w:t>Title</w:t>
      </w:r>
    </w:p>
    <w:p>
      <w:r>
        <w:t>Quantum-enhanced long short-term memory with attention for spatial permeability prediction in oilfield reservoirs</w:t>
      </w:r>
    </w:p>
    <w:p>
      <w:r>
        <w:t xml:space="preserve"> </w:t>
      </w:r>
    </w:p>
    <w:p>
      <w:pPr>
        <w:pStyle w:val="Heading2"/>
      </w:pPr>
      <w:r>
        <w:t>Short Hypothesis</w:t>
      </w:r>
    </w:p>
    <w:p>
      <w:r>
        <w:t>Embedding variational quantum circuits into LSTM gates with attention and using quantum-aware encoders will reduce per-well RMSE on log10(permeability) by at least 0.05 dex compared to the best resource-matched classical baseline under pre-registered negative controls and statistical tests.</w:t>
      </w:r>
    </w:p>
    <w:p>
      <w:r>
        <w:t xml:space="preserve"> </w:t>
      </w:r>
    </w:p>
    <w:p>
      <w:pPr>
        <w:pStyle w:val="Heading2"/>
      </w:pPr>
      <w:r>
        <w:t>Related Work</w:t>
      </w:r>
    </w:p>
    <w:p>
      <w:r>
        <w:t>Classical sequence models (LSTM, GRU) and attention mechanisms have been applied to spatial and temporal reservoir prediction tasks but can struggle with high-dimensional, spatially correlated inputs and limited well counts. Dimension reduction and classical autoencoders are commonly used to compress inputs before modeling, but these can leak information if trained across folds. Hybrid quantum-classical neural networks and variational quantum circuits (VQCs) have been proposed to add inductive biases from quantum kernels and have shown preliminary accuracy improvements in some domains (reports of up to ~19% error reduction). Limitations in prior work include small and inconsistent baselines, lack of pre-registered negative-control protocols, few systematic studies of encoder training inside cross-validation (risking leakage), inadequate treatment of shot noise and hardware drift, limited analysis of barren-plateau trainability in recurrent settings, and weak links from predictive gains to decision impact (EVPI). Reproducibility and device-readiness artifacts (pinned versions, archived raw shots, transpiled circuits) are often missing.</w:t>
      </w:r>
    </w:p>
    <w:p>
      <w:r>
        <w:t xml:space="preserve"> </w:t>
      </w:r>
    </w:p>
    <w:p>
      <w:pPr>
        <w:pStyle w:val="Heading2"/>
      </w:pPr>
      <w:r>
        <w:t>Abstract</w:t>
      </w:r>
    </w:p>
    <w:p>
      <w:r>
        <w:t>We address spatial prediction of reservoir permeability (log10(k)) by introducing a hybrid quantum-classical recurrent model that integrates variational quantum circuits (VQCs) into long short-term memory (LSTM) gates with an attention layer. Variational quantum circuits are parameterized quantum circuits whose parameters are trained to shape a nonlinear mapping. The proposed study evaluates two quantum gate configurations (shared gates and independent gates) and three compression strategies (PCA fallback, random Gaussian projector, and shallow classical autoencoder) mapped to qubit budgets. The main contribution is an end-to-end experimental protocol that pairs model training with pre-registered negative controls, barren-plateau diagnostics, encoding-in-fold procedures, and explicit hardware decision rules based on shot budgets and gate stability. Expected outcomes are: (1) a quantifiable comparison between quantum-enhanced and resource-matched classical baselines under rigorous statistical controls, (2) empirical characterization of qubit-count and ansatz effects on spatial prediction, and (3) a reproducible hybrid framework ready for validation on noisy quantum devices if pre-specified gates pass. The work connects predictive metrics to decision-level value using EVPI analyses.</w:t>
      </w:r>
    </w:p>
    <w:p>
      <w:r>
        <w:t xml:space="preserve"> </w:t>
      </w:r>
    </w:p>
    <w:p>
      <w:pPr>
        <w:pStyle w:val="Heading2"/>
      </w:pPr>
      <w:r>
        <w:t>Experiments</w:t>
      </w:r>
    </w:p>
    <w:p>
      <w:r>
        <w:t>Datasets: (1) Synthetic reservoir benchmark with controlled spatial correlation and known permeability maps for sanity checks; (2) Real per-well datasets containing conventional logs (GR, RHOB, NPHI, resistivity, sonic), derived petrophysical features, facies labels, and core-measured permeability (log10(k) [mD]) for N_wells ≥ 20 when available. Preserve per-sample metadata (test fluid, pressure, plug size). Data splits: outer folds = well-based LOWO (5 folds) plus a held-out hardware-validation fold; inner folds for hyperparameter search. Compressors: (A) PCA retaining 95% variance (fallback), (B) seeded random Gaussian linear projector to dimension n_q (n_q = qubit_count), (C) shallow autoencoder (bottleneck = n_q). Train compressors inside inner CV folds only. Model variants: (1) Classical LSTM with attention (full parameter budget), (2) Reduced-parameter classical LSTM matched to VQC FLOPs/parameter count, (3) Hybrid QLSTMA with shared-gate VQC, (4) Hybrid QLSTMA with independent-gate VQCs, (5) Null-VQC (untrained/randomized circuit) as negative control. Qubit counts: test n_q ∈ {4,6,8}. Training: 10 random seeds, 5 well-based folds, early stopping on validation, optimizer = Adam for classical params, VQC gradients via parameter-shift when ≤50 trainable params else SPSA; log per-layer gradient L2, gradient variance, and top-20 empirical FIM eigenvalues every 50 updates. Evaluation metrics: primary = per-well RMSE on log10(k) (report back-transformed error bands in dex); secondary = CRPS (continuous ranked probability score), kernel-target alignment (HSIC or CKA) between VQC Gram and labels, mutual information (kNN MI estimator) between compressed features and log10(k), and EVPI computed for a representative decision (well placement ranking) using predictive ensembles. Statistical tests and controls: pre-register paired bootstrap (1,000 resamples) on per-well RMSE differences, Wilcoxon signed-rank for paired errors, permutation test (1,000 perms) for kernel-target alignment, and Benjamini–Hochberg FDR control across pre-specified comparisons. Negative-control experiments: label-shuffle per-well, spatial-patch permutation, temporal permutation, null-kernel, and reduced-parameter classical baselines. Ablations: (i) shared vs independent gate VQC configurations, (ii) qubit count sweep, (iii) compressor choice (PCA vs random projector vs AE), (iv) training compressors inside vs outside inner folds (to quantify leakage-induced variance inflation). Hardware decision rules and shot budgets: simulator prototyping 256–512 shots/eval; noisy-sim validation 1,024–2,048 shots; hardware validation 8,192–16,384 shots per critical expectation. Gate mapping: map Pauli-Z expectations z∈[-1,1] via s=clip(a*z+b,-L,L), gate=sigmoid(s) with default a=1.2,b=0,L=6; estimate shot-based variance σ and apply variance-aware scaling a'=a/(1+κσ) with κ=10; Monte Carlo shot-resampling N=500 to compute gate CV and require CV&lt;0.1 to accept hardware gates. Reproducibility: archive raw shots, calibration matrices, transpiled circuits/QASM, compressor transforms, fold lists, seeds, and container digests; run 1,000 bootstrap resamples for CIs and report per-well and per-facies results.</w:t>
      </w:r>
    </w:p>
    <w:p>
      <w:r>
        <w:t xml:space="preserve"> </w:t>
      </w:r>
    </w:p>
    <w:p>
      <w:pPr>
        <w:pStyle w:val="Heading2"/>
      </w:pPr>
      <w:r>
        <w:t>Risk Factors And Limitations</w:t>
      </w:r>
    </w:p>
    <w:p>
      <w:r>
        <w:t>Barren-plateau trainability: VQCs in recurrent cells may produce vanishing gradients (very small gradient norms) that prevent learning. Shot noise and readout errors: finite measurement shots cause noisy Pauli expectations and unstable gate values, raising coefficient of variation and harming LSTM gating. Hardware drift and non-stationary noise: device properties (T1/T2/readout) can change between calibration and runs, invalidating gating thresholds. Small sample sizes and label noise: few wells or noisy permeability labels reduce power and can inflate σ_paired, making the 0.05 dex target unattainable. Compressor leakage: training encoders across folds causes optimistic performance; fold-wise training increases computational cost. FIM and spectral estimates under shot noise: empirical Fisher eigenvalues may be unstable without regularization and sufficient samples. EVPI modeling assumptions: economic decision models (NPV, thresholds) may be simplistic or not representative; mapping predictive variance to EVPI can be sensitive to those assumptions. Computational and wall-clock cost: parameter-shift gradient estimation doubles evaluations per parameter and hardware shots are expensive; SPSA reduces fidelity for large parameter counts. Generalization limits: results may not transfer to reservoirs with different facies, logging suites, or upscaling methods. Classical baseline fairness: ensuring resource-matched classical baselines requires careful matching of FLOPs and parameters and can be laborious.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