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facebook_cancer_prevention_pilot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development and pilot testing of a theory-based, community-engaged Facebook group intervention to reduce multiple cancer risk behaviors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the co-created, theory-based Facebook private-group intervention causes a greater reduction in the prevalence of six targeted cancer risk behaviors among rural emerging adults at 8 weeks compared with baseline measurements.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single-behavior digital interventions (smoking cessation, HPV vaccination promotion, or sun-safety campaigns), multi-behavior clinic-based programs, and social-media health campaigns delivered at scale. Social-media delivery can increase reach but often suffers from low sustained engagement, poor verification of objective outcomes (for example, self-reported vaccination or smoking status), and limited biochemical validation. Prior multi-behavior interventions rarely use community co-creation with target users and local stakeholders, which limits cultural fit in rural contexts. Methods that rely solely on self-report introduce measurement bias; methods that require clinic data linkage increase clinic burden and PHI risks. Technical designs for offline mobile use are uneven: some systems use event IDs but do not fully specify conflict resolution for offline edits, causing data loss. Equity-focused recruitment is often underpowered or reactive rather than quota-driven. These weaknesses leave open the need for co-created, verifiable, low-bandwidth social-media interventions tailored to rural emerging adults.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multiple modifiable cancer risk behaviors but have limited access to tailored prevention programs. We propose a mixed-methods study to develop and pilot a theory-driven intervention delivered via private Facebook groups and co-created with emerging adults and stakeholder advisory boards. The intervention will combine behavior-change messaging, coach prompts, and community features to target six risk factors. Main contributions are: (1) a community-engaged design process producing low-bandwidth, accessible content for rural contexts; (2) an objective-verification workflow pairing participant-mediated evidence (immunization card photos, clinic short codes) with biochemical validation (mail-in saliva cotinine for tobacco) in a subsample; and (3) a pilot evaluation protocol with predefined feasibility, fidelity, and usability metrics. Expected outcomes include feasibility estimates, preliminary effect sizes on targeted behaviors at 8 weeks, and operational SOPs (verification, PHI governance, and offline sync) that support a larger trial and data sharing. The pilot will produce reproducible artifacts for IRB review and community dissemination.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randomized pilot (1:1) with N=80 rural emerging adults aged 18–25 across three rural regions. Arms: full intervention (tailored messaging + coach micro-scripts + community posts) vs minimal-information control (static posts only). Primary endpoints measured at baseline and 8 weeks. Datasets: participant self-report surveys, Facebook group engagement logs, upload verification files (immunization photo or clinic code), saliva cotinine assay results for a randomized 25% subsample, fidelity logs with rater IDs/timestamps. Baselines: within-subject pre-post comparison and between-arm comparison. Baseline covariates: age, sex/gender identity, education/employment, region. Evaluation metrics: (1) binary prevalence of each risk behavior (McNemar test for within-subject; logistic mixed-effects model for between-arm, with participant random intercept), (2) composite risk score (paired t-test; linear mixed-effects model), (3) tobacco validation concordance (sensitivity/specificity of self-report vs cotinine), (4) feasibility metrics: recruitment rate, retention at 8 weeks, SUS usability score, and fidelity percentage. Statistical models: mixed-effects models controlling for baseline covariates; report effect sizes (Cohen's d or odds ratios), 95% CIs, and p-values. ICC sensitivity: include design-effect rows with ICC ranging 0.01–0.05. Ablation: within the full-arm sample, randomly remove tailored messaging for a nested n≈20 to test effect of tailoring (compare change scores). Power/analysis plan: paired analyses primary; report per-protocol and intent-to-treat analyses with multiple imputation for missing data. Pre-specify thresholds for feasibility: recruitment ≥80% target, retention ≥75%, SUS ≥70.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shortfall in rural areas leading to insufficient power; selection bias from social-media recruitment favoring connected participants. Self-report bias for behaviors not biochemically confirmed. Cotinine limitation: cannot fully distinguish nicotine source (e-cigarette vs cigarette) and passive exposure may affect low-level readings; cutoff choice affects classification. Small sample and short follow-up limit generalizability and ability to detect small effects. Technical failure modes: offline sync conflicts, inconsistent timestamp ordering, or lost event IDs causing data corruption. Privacy and PHI risks from uploads and SMS/TCPA logging. Laboratory delays or kit loss in mail can reduce biochemical sample yield. Equity limitations: quota targets may be hard to meet for small subgroups (for example nonbinary participants) and findings may not generalize beyond the recruited rural regions. Scalability limits: reliance on Facebook private groups and coach time may not scale without automation or added cost.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