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a2a_cp_csf_hydrocephalus</w:t>
      </w:r>
    </w:p>
    <w:p>
      <w:r>
        <w:t xml:space="preserve"> </w:t>
      </w:r>
    </w:p>
    <w:p>
      <w:pPr>
        <w:pStyle w:val="Heading2"/>
      </w:pPr>
      <w:r>
        <w:t>Title</w:t>
      </w:r>
    </w:p>
    <w:p>
      <w:r>
        <w:t>Quantifying the role of adenosine A2A receptor signaling in choroid plexus-driven CSF hypersecretion and ventriculomegaly using PK/occupancy mapping, biosensor imaging, and molecular pathway analysis</w:t>
      </w:r>
    </w:p>
    <w:p>
      <w:r>
        <w:t xml:space="preserve"> </w:t>
      </w:r>
    </w:p>
    <w:p>
      <w:pPr>
        <w:pStyle w:val="Heading2"/>
      </w:pPr>
      <w:r>
        <w:t>Short Hypothesis</w:t>
      </w:r>
    </w:p>
    <w:p>
      <w:r>
        <w:t>Activation of A2A receptors in choroid plexus increases CSF secretion and causes ventricular enlargement via PI3K/AKT-dependent SPAK phosphorylation and NF-κB-driven upregulation of ATP1A2, and pharmacologic A2A antagonism with istradefylline reduces CP A2A occupancy, lowers CSF production, and prevents ventriculomegaly.</w:t>
      </w:r>
    </w:p>
    <w:p>
      <w:r>
        <w:t xml:space="preserve"> </w:t>
      </w:r>
    </w:p>
    <w:p>
      <w:pPr>
        <w:pStyle w:val="Heading2"/>
      </w:pPr>
      <w:r>
        <w:t>Related Work</w:t>
      </w:r>
    </w:p>
    <w:p>
      <w:r>
        <w:t>Prior studies indicate adenosine A2A receptors regulate fluid secretion in the brain and that A2A ligands can alter CSF dynamics. Existing approaches include systemic pharmacology, bulk tissue assays, and imaging of ventricles. Limitations: (1) poor mapping from dose to receptor occupancy in small tissues like the choroid plexus (CP), (2) sparse measures of free (unbound) drug in CP needed to predict occupancy, (3) low sensitivity of LC-MS and radioligand assays for single-CP samples, (4) few studies combine live cAMP biosensors in CP slices with in vivo MRI and PK, (5) pathway-level links (PI3K/AKT→SPAK and NF-κB→ATP1A2) remain correlative without pathway perturbation, and (6) translational PET occupancy in CP is under-characterized. These gaps limit mechanistic proof and therapeutic translation.</w:t>
      </w:r>
    </w:p>
    <w:p>
      <w:r>
        <w:t xml:space="preserve"> </w:t>
      </w:r>
    </w:p>
    <w:p>
      <w:pPr>
        <w:pStyle w:val="Heading2"/>
      </w:pPr>
      <w:r>
        <w:t>Abstract</w:t>
      </w:r>
    </w:p>
    <w:p>
      <w:r>
        <w:t>Hydrocephalus involves excess cerebrospinal fluid (CSF) and enlarged brain ventricles. We test whether overactive adenosine A2A receptor (A2AR) signaling in the choroid plexus (CP) drives CSF hypersecretion and ventriculomegaly via two mechanisms: a rapid PI3K/AKT-dependent SPAK phosphorylation route that changes ion transport, and a slower NF-κB-mediated increase in ATP1A2 expression (the Na+/K+-ATPase alpha2 subunit). The study combines quantitative PK/occupancy mapping (radioligand autoradiography and LC-MS/MS with free-drug estimation), live cAMP biosensor imaging in CP slices (Epac-FRET), longitudinal MRI volumetry and CSF-flow measurements, and molecular assays for phosphorylation and transcription. Main contribution: an integrated, testable pipeline linking CP A2AR occupancy to functional CSF output and ventricular volume, with direct pathway perturbations and evaluation of istradefylline (an FDA-approved A2AR antagonist) as a repurposed therapy. Expected outcome: definitive causal evidence for CP A2AR-driven CSF excess and occupancy thresholds for therapeutic benefit, enabling translational dosing and imaging strategies.</w:t>
      </w:r>
    </w:p>
    <w:p>
      <w:r>
        <w:t xml:space="preserve"> </w:t>
      </w:r>
    </w:p>
    <w:p>
      <w:pPr>
        <w:pStyle w:val="Heading2"/>
      </w:pPr>
      <w:r>
        <w:t>Experiments</w:t>
      </w:r>
    </w:p>
    <w:p>
      <w:r>
        <w:t>Animal models: adult C57BL/6J mice and Sprague-Dawley rats, both sexes, age 8–12 weeks. Groups (per species): (A) vehicle, (B) A2A agonist challenge (NECA or selective agonist), (C) istradefylline prophylactic, (D) istradefylline therapeutic (post-insult), (E) A2A global KO or CP-selective Adora2a knockout, (F) pathway perturbations: PI3K inhibitor and NF-κB inhibitor, and (G) ATP1A2 knockdown in CP. Sample sizes: imaging arms n=20/group enroll to obtain 12–16 completers; acute PD arms n=8–12/group. Dosing and sampling: PK tissue times 15, 30, 60 min; 24, 48, 72 h; day 7, 14, 28. LC-MS/MS: internal standard added pre-homogenization; target LLOQ 0.1–1 ng/g CP. Receptor occupancy: ex vivo autoradiography with [3H]ZM241385; membrane saturation binding using 50 µg protein/tube, ligand range 0.02–10 nM, incubation 60 min (pilot RT and 4°C to confirm equilibrium); calculate Occupancy(%) = 100*(1−B_treated/B_vehicle). Free drug estimation: brain/CP homogenate method and CSF/plasma partitioning; optional microdialysis pilot. Live PD: Epac-FRET cAMP imaging in acute CP slices (report %ΔR/R), calibrated with forskolin+IBMX ceiling and MDL‑12,330A floor. Imaging: MRI T2-weighted volumetry at baseline, day 7, 14, 28; phase-contrast CSF flow at aqueduct and foramen magnum. Molecular assays: western blot / quantitative MS for pSPAK, pNKCC1, pCREB, total NKCC1, ATP1A2 protein; qPCR and NF-κB activity assay for ATP1A2 transcription. Baselines and controls: A1/A2B antagonists, ectonucleotidase inhibitors, antagonist block tests, and CP-selective genetic controls. Metrics: lateral ventricle volume (mm3), CSF secretion rate (µL/min), receptor occupancy (%), CP free drug concentration (ng/g), phosphorylation ratio (phospho/total), cAMP response amplitude, ATP1A2 mRNA fold-change. Statistics: prespecified co-primary endpoints: acute CSF production and percent change in lateral ventricle volume at day 14; use linear mixed-effects models with random intercepts/slopes, Holm–Bonferroni for co-primaries, planned ablations: (i) remove istradefylline to test drug necessity, (ii) inhibit PI3K or NF-κB to test pathway mediation, (iii) compare total vs free CP drug in PK→occupancy modeling. Data capture: BIDS for imaging, LIMS for samples, persistent animal IDs. Ablation study: compare full protocol versus CP ATP1A2 knockdown to test necessity of ATP1A2 for ventriculomegaly.</w:t>
      </w:r>
    </w:p>
    <w:p>
      <w:r>
        <w:t xml:space="preserve"> </w:t>
      </w:r>
    </w:p>
    <w:p>
      <w:pPr>
        <w:pStyle w:val="Heading2"/>
      </w:pPr>
      <w:r>
        <w:t>Risk Factors And Limitations</w:t>
      </w:r>
    </w:p>
    <w:p>
      <w:r>
        <w:t>1) Low tissue mass: single CP contains little protein/RNA, risking LC-MS and autoradiography sensitivity failure. 2) Occupancy uncertainty: free (unbound) CP drug (fu,CP) estimates may be inaccurate, so PK→occupancy mapping may be imprecise. 3) Radioligand limits: [3H]ZM241385 Bmax in CP may be below reliable detection and PET tracers may produce radiometabolites that confound CP signal. 4) Phospho-lability: rapid loss of phosphorylation ex vivo if time-to-freeze or phosphatase inhibition is inadequate. 5) Anesthesia and physiology: isoflurane and blood-pressure changes can alter CSF flow and confound outcomes. 6) Off-target drug effects: systemic A2A modulation affects vasculature and immune cells, complicating CP-specific attribution. 7) Biosensor expression variability: AAV transduction efficiency and sensor expression level may vary by animal and strain (PHP.eB strain dependence). 8) Species translation: rodent CP biology and drug distribution may not generalize to humans. 9) Statistical variability: high inter-animal variance in ventricular volume and CSF rate may require larger sample sizes than predicted. 10) Resource limits: repeated longitudinal imaging, microdissection, and high-sensitivity assays increase cost and throughput constraints.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