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ai_ethics_syllabus_coverage_india</w:t>
      </w:r>
    </w:p>
    <w:p>
      <w:r>
        <w:t xml:space="preserve"> </w:t>
      </w:r>
    </w:p>
    <w:p>
      <w:pPr>
        <w:pStyle w:val="Heading2"/>
      </w:pPr>
      <w:r>
        <w:t>Title</w:t>
      </w:r>
    </w:p>
    <w:p>
      <w:r>
        <w:t>Stratified cluster-adjusted syllabus-level analysis of AI ethics coverage in Indian computing courses</w:t>
      </w:r>
    </w:p>
    <w:p>
      <w:r>
        <w:t xml:space="preserve"> </w:t>
      </w:r>
    </w:p>
    <w:p>
      <w:pPr>
        <w:pStyle w:val="Heading2"/>
      </w:pPr>
      <w:r>
        <w:t>Short Hypothesis</w:t>
      </w:r>
    </w:p>
    <w:p>
      <w:r>
        <w:t>Institution type causally affects syllabus-level AI ethics coverage: publicly funded institutions have at least a 3 percentage-point higher mean on a 0–100 coverage index than privately funded institutions under a stratified, cluster-adjusted sampling design.</w:t>
      </w:r>
    </w:p>
    <w:p>
      <w:r>
        <w:t xml:space="preserve"> </w:t>
      </w:r>
    </w:p>
    <w:p>
      <w:pPr>
        <w:pStyle w:val="Heading2"/>
      </w:pPr>
      <w:r>
        <w:t>Related Work</w:t>
      </w:r>
    </w:p>
    <w:p>
      <w:r>
        <w:t>Existing work on AI ethics education includes small-scale syllabus audits, single-institution case studies, proposed model modules, and curriculum frameworks. Prior approaches are often convenience samples or selective institution case studies and do not use representative, stratified sampling; they rarely account for clustering of multiple syllabi within institutions, report design effects, or provide reproducible Monte Carlo power analyses. Many reviews emphasize topic lists (fairness, privacy, transparency) but stop short of systematic, quantitative coverage indices or robust missing-data and OCR-failure handling. Limitations in current methods include (1) lack of cluster-aware variance estimation, (2) minimal treatment of nonresponse bias and imputation sensitivity, (3) limited coding reliability reporting, and (4) sparse policy-linked sampling frames for national inference. These gaps reduce confidence when translating findings to regulatory or curriculum decisions.</w:t>
      </w:r>
    </w:p>
    <w:p>
      <w:r>
        <w:t xml:space="preserve"> </w:t>
      </w:r>
    </w:p>
    <w:p>
      <w:pPr>
        <w:pStyle w:val="Heading2"/>
      </w:pPr>
      <w:r>
        <w:t>Abstract</w:t>
      </w:r>
    </w:p>
    <w:p>
      <w:r>
        <w:t>This study measures how AI ethics topics are taught across Indian computing programs by conducting a large-scale syllabus-level analysis using stratified cluster-adjusted sampling. We construct a 0–100 coverage index that quantifies explicit, assessable ethics content in syllabi and estimate national and subgroup means with design-based variance that accounts for intra-institution correlation. Main contributions are: (1) a reproducible sampling and simulation pipeline that converts pilot estimates of within-institution correlation and variance into sample-size targets and minimum detectable effects, (2) a publicly archived taxonomy and coding protocol with reliability benchmarks, and (3) contrast-specific inference for policy-relevant comparisons (for example public vs private). Expected outcomes are transparent estimates of national coverage, robust subgroup comparisons with reported margins of error, and MDE tables and scripts that regulators or curriculum designers can reuse to plan interventions.</w:t>
      </w:r>
    </w:p>
    <w:p>
      <w:r>
        <w:t xml:space="preserve"> </w:t>
      </w:r>
    </w:p>
    <w:p>
      <w:pPr>
        <w:pStyle w:val="Heading2"/>
      </w:pPr>
      <w:r>
        <w:t>Experiments</w:t>
      </w:r>
    </w:p>
    <w:p>
      <w:r>
        <w:t>Datasets: (1) Population frame: list of accredited Indian computing programs (B.Tech/M.Tech/MCA/BCA) with institution metadata (type, region, accreditation). (2) Pilot: 30 institutions with ≥3 syllabi each (≥90 syllabi) for parameter estimation. (3) Main sample target: 450 syllabi from ~110–150 institutions using stratified cluster sampling. Baselines: (A) naive unweighted simple-random-sample (SRS) estimates on syllabi, (B) SRS with complete-case handling of missing syllabi, (C) previously published convenience-sample syllabus audits (as an external baseline). Evaluation metrics: mean coverage index (0–100), 95% confidence interval half-width (margin of error), design effect (Deff = 1 + ICC*(m-1)), intraclass correlation coefficient (ICC, which measures similarity of syllabi within an institution), proportion of programs with standalone ethics course, Cohen's kappa for coding reliability, power to detect group differences (Δ) at 80% and 90% levels, and bias from missingness (difference between imputed and complete-case estimates). Experimental setup: (1) Collect syllabi, OCR and extract text, code according to prespecified taxonomy with double-coding for 25–30% and compute kappa. (2) Estimate pilot σ and ICC via two-level random-intercept REML model; report point estimates and 80/95% CIs. (3) Run seeded Monte Carlo simulations (resampling institutions, then syllabi) across grid σ ∈ {5,8,12}, ICC ∈ {0.01,0.05,0.10}, m ∈ {2,3,4} with ≥1,000 iterations per cell to produce MDE and required-k distributions. (4) Main analyses: compute weighted, post-stratified estimates with Taylor linearization and replicate-weight cluster bootstrap; report Deff and n_eff = n/Deff. (5) Comparisons/ablations: (i) design-based estimator vs multilevel (hierarchical) model estimates; (ii) weighted vs unweighted results; (iii) complete-case vs multiple-imputation (MICE) vs worst-case pattern-mixture sensitivity; (iv) effect of trimming extreme weights (no trim vs cap at 10× median). (6) Report subgroup contrasts predeclared (public vs private, UG vs PG, region) with Bonferroni-adjusted confirmatory tests and Benjamini-Hochberg exploratory family. Reproducibility: archive seeded scripts, Docker container, and synthetic worked example.</w:t>
      </w:r>
    </w:p>
    <w:p>
      <w:r>
        <w:t xml:space="preserve"> </w:t>
      </w:r>
    </w:p>
    <w:p>
      <w:pPr>
        <w:pStyle w:val="Heading2"/>
      </w:pPr>
      <w:r>
        <w:t>Risk Factors And Limitations</w:t>
      </w:r>
    </w:p>
    <w:p>
      <w:r>
        <w:t>Incomplete or biased sampling frame (missing low-visibility institutions) may limit representativeness. High nonresponse or OCR failures could raise missingness above 20%, increasing dependence on imputation and sensitivity assumptions. Coding measurement error (low inter-rater agreement) will reduce effective precision of the coverage index. ICC estimation from a small pilot may be unstable; this uncertainty inflates required sample sizes. Cluster size variability (unequal syllabi per institution) increases design effect and sample burden. Language diversity and untranslated vernacular syllabi may reduce coding accuracy and exclude some programs. Legal or institutional restrictions on syllabus access could restrict data collection. Results generalize to degree-level computing syllabi in the sampled year and may not apply to short courses, workshops, or later curricular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