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analytical_errors_3yr</w:t>
      </w:r>
    </w:p>
    <w:p>
      <w:r>
        <w:t xml:space="preserve"> </w:t>
      </w:r>
    </w:p>
    <w:p>
      <w:pPr>
        <w:pStyle w:val="Heading2"/>
      </w:pPr>
      <w:r>
        <w:t>Title</w:t>
      </w:r>
    </w:p>
    <w:p>
      <w:r>
        <w:t>Retrospective application of calibrated statistical process control and six‑sigma metrics to detect and quantify analytical errors in a hospital laboratory</w:t>
      </w:r>
    </w:p>
    <w:p>
      <w:r>
        <w:t xml:space="preserve"> </w:t>
      </w:r>
    </w:p>
    <w:p>
      <w:pPr>
        <w:pStyle w:val="Heading2"/>
      </w:pPr>
      <w:r>
        <w:t>Short Hypothesis</w:t>
      </w:r>
    </w:p>
    <w:p>
      <w:r>
        <w:t>Calibrated EWMA, CUSUM and Laney p' control charts applied to 2021–2023 laboratory event series will detect true shifts in analytical‑phase error rates with lower detection delay and fewer false alarms than standard uncalibrated p‑chart monitoring.</w:t>
      </w:r>
    </w:p>
    <w:p>
      <w:r>
        <w:t xml:space="preserve"> </w:t>
      </w:r>
    </w:p>
    <w:p>
      <w:pPr>
        <w:pStyle w:val="Heading2"/>
      </w:pPr>
      <w:r>
        <w:t>Related Work</w:t>
      </w:r>
    </w:p>
    <w:p>
      <w:r>
        <w:t>Prior work has focused on error surveillance, simulation of detection methods, analytical validation and human‑factors interventions. Common approaches include simple p‑charts for proportions, EWMA/CUSUM for shift detection, six‑sigma metrics for severity scoring, and human‑factors driven pilots (barcoding, phlebotomy training). Limitations are: many studies use heuristic chart thresholds without calibration to local autocorrelation or seasonality; control charts are rarely validated by simulation across realistic noise (autocorrelation, seasonality, overdispersion); linkage between incidents and test events is often informal and lacks probabilistic validation, causing unquantified bias; privacy controls and key‑management are not always specified; missing‑data treatments and MNAR (missing not at random) sensitivity are seldom prespecified; reproducible ETL and CI/CD practices are underused. These gaps limit detection performance, auditability and generalizability.</w:t>
      </w:r>
    </w:p>
    <w:p>
      <w:r>
        <w:t xml:space="preserve"> </w:t>
      </w:r>
    </w:p>
    <w:p>
      <w:pPr>
        <w:pStyle w:val="Heading2"/>
      </w:pPr>
      <w:r>
        <w:t>Abstract</w:t>
      </w:r>
    </w:p>
    <w:p>
      <w:r>
        <w:t>We address detection and quantification of analytical‑phase laboratory errors using a retrospective three‑year incident dataset. We propose to calibrate statistical process control methods (EWMA, CUSUM, Laney p') and six‑sigma severity scoring on local historical records and on realistic simulations that include autocorrelation (AR(1)), seasonality and overdispersion. Key components are reproducible ETL, deterministic/pseudonymized linkage, formal linkage validation, and pre‑specified missing‑data rules. The main contribution is an audit‑grade evaluation that (1) converts desired in‑control average run length (ARL) and monthly false‑alarm rate into calibrated chart thresholds using empirical calibration and simulation, and (2) compares chart families and parameterizations by detection delay, false alarm rate and ARL under plausible noise models. Expected outcomes are quantified chart parameter sets, validated linkage metrics, sample‑size guidance for ITS and linkage review, and reproducible code/artefacts to support CAPA and quality improvement decisions. This work produces testable, locally calibrated monitoring rules and auditable documentation to improve laboratory safety.</w:t>
      </w:r>
    </w:p>
    <w:p>
      <w:r>
        <w:t xml:space="preserve"> </w:t>
      </w:r>
    </w:p>
    <w:p>
      <w:pPr>
        <w:pStyle w:val="Heading2"/>
      </w:pPr>
      <w:r>
        <w:t>Experiments</w:t>
      </w:r>
    </w:p>
    <w:p>
      <w:r>
        <w:t>Datasets: retrospective incident records and test denominators from the hospital LIS for 2021–2023. Required fields: pseudonymized patient_id, specimen_id, test_code, collection_ts, result_ts, operator_id (pseudonymized), error_category (pre/analytical/analytical/post‑analytical), QC run logs (timestamp, value, lot), daily/monthly test volumes by test_code, unit/ward. Linkage ground truth: curated manual sample for validation (see linkage sampling). Baselines: (A) uncalibrated p‑chart with 3σ limits, (B) Laney p' with default dispersion threshold, (C) EWMA (λ=0.20,L=3) standard, (D) CUSUM with k=0.5σ,h=5σ standard. Simulation setup: generate count series as Poisson and Negative‑Binomial with mean λ_t = baseline*(1 + A*sin(2πt/period)) where A∈{0,0.1,0.2,0.3}, AR(1) ρ∈{0.0,0.2,0.4,0.6}, inject shifts IRR∈{1.1,1.25,1.5,2.0} and additive shifts 0.5–2.0σ for continuous surrogates. Run 1,000 Monte‑Carlo replications per scenario. Evaluation metrics: false alarm rate (FAR) per month, in‑control ARL, out‑of‑control ARL, median detection delay (time to alarm after injected shift), sensitivity/specificity of alarms, PPV/NPV for flagged events, error rate per 1,000 tests with 95% CI, segmented regression IRR and p‑value, and linkage PPV/sensitivity with 95% CI. Preprocessing and security: pseudonymize IDs with salted HMAC‑SHA256 (salt in HSM) before analysis; store provenance flags (inferred timestamp, operator unknown). Linkage rules: deterministic join on specimen_id + test_code + timestamp ±30 min; fallback probabilistic matching using string similarity + timestamp distance; auto‑link threshold ≥0.90, manual review for 0.70–0.90. Linkage validation: manual review sample n≥205 (derived from target PPV 0.95 and margin ±0.03 at 95% CI) or use power calculation if expected PPV differs. Missing data: multiple imputation for covariates with &gt;5% missing, m≥20 imputations; timestamp/operator missing within ±15 min inferred and flagged; otherwise exclude from primary ITS and include in sensitivity analyses. Statistical models: for counts use negative‑binomial generalized linear models with log offset for test volume and ARIMA errors or Newey‑West standard errors to handle autocorrelation; conduct interrupted time series (ITS) with minimum 12 monthly pre and 12 monthly post points; report CIs and effect sizes not only p‑values. Ablation studies: (1) compare chart families and parameter sweeps for detection metrics across simulation grid; (2) compare analyses using only deterministic links vs. including probabilistic links at different thresholds; (3) compare complete‑case vs. MI (m=20) vs. worst‑case MNAR delta scenarios; (4) evaluate effect of reducing manual linkage sample size on PPV CI. Reproducibility: store container images, seeds, and all code in GitLab with unit tests and CI runs; provide simulation seeds and deterministic outputs for audit.</w:t>
      </w:r>
    </w:p>
    <w:p>
      <w:r>
        <w:t xml:space="preserve"> </w:t>
      </w:r>
    </w:p>
    <w:p>
      <w:pPr>
        <w:pStyle w:val="Heading2"/>
      </w:pPr>
      <w:r>
        <w:t>Risk Factors And Limitations</w:t>
      </w:r>
    </w:p>
    <w:p>
      <w:r>
        <w:t>Incomplete or missing timestamps and operator IDs that prevent deterministic linkage. Low event counts for some error types limiting power and increasing uncertainty. Autocorrelation and seasonality causing inflated false alarms if not modeled. Mislinking (false matches or missed matches) biasing error rates and ITS estimates. Overdispersion or zero‑inflation violating Poisson assumptions and requiring negative‑binomial or zero‑inflated models. Privacy risk if pseudonymization keys or linkage tables are mishandled. Lack of externally agreed TEa (allowable total error) for some analytes, limiting verification thresholds. Human factors: incomplete adoption of pilot interventions and reporting bias in near‑miss data. Findings may not generalize beyond the single hospital setting with its specific workflow and data quality. Computational cost and time for extensive simulations and manual linkage review may constrain timeline.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