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anion_gap_lactate_sepsis_ed</w:t>
      </w:r>
    </w:p>
    <w:p>
      <w:r>
        <w:t xml:space="preserve"> </w:t>
      </w:r>
    </w:p>
    <w:p>
      <w:pPr>
        <w:pStyle w:val="Heading2"/>
      </w:pPr>
      <w:r>
        <w:t>Title</w:t>
      </w:r>
    </w:p>
    <w:p>
      <w:r>
        <w:t>Evaluation of albumin-corrected anion gap to predict elevated serum lactate in emergency department patients with sepsis without shock using retrospective ROC analysis</w:t>
      </w:r>
    </w:p>
    <w:p>
      <w:r>
        <w:t xml:space="preserve"> </w:t>
      </w:r>
    </w:p>
    <w:p>
      <w:pPr>
        <w:pStyle w:val="Heading2"/>
      </w:pPr>
      <w:r>
        <w:t>Short Hypothesis</w:t>
      </w:r>
    </w:p>
    <w:p>
      <w:r>
        <w:t>Higher albumin-corrected anion gap (AGcorr) values increase the probability of serum lactate ≥2.0 mmol/L (and ≥4.0 mmol/L) in adult emergency department encounters diagnosed with sepsis without shock, after adjustment for measured confounders.</w:t>
      </w:r>
    </w:p>
    <w:p>
      <w:r>
        <w:t xml:space="preserve"> </w:t>
      </w:r>
    </w:p>
    <w:p>
      <w:pPr>
        <w:pStyle w:val="Heading2"/>
      </w:pPr>
      <w:r>
        <w:t>Related Work</w:t>
      </w:r>
    </w:p>
    <w:p>
      <w:r>
        <w:t>Prior work has explored anion gap (AG) as a marker of unmeasured acids and has shown associations between AG and adverse outcomes in sepsis. Existing approaches often use uncorrected AG, mix point-of-care (POC) and central-lab lactates without formal harmonization, and analyze cohorts restricted to encounters with measured lactate, which introduces selection bias. Many studies lack prespecified lab-pairing windows, do not correct AG for albumin, have limited missing-data strategies, and report only discrimination without thorough calibration or internal temporal validation. Limitations include small samples, inadequate handling of measurement error, weak or absent penalization when events are few, and sparse sensitivity analyses for MNAR (missing-not-at-random) mechanisms. These gaps reduce reproducibility and limit translation to ED triage.</w:t>
      </w:r>
    </w:p>
    <w:p>
      <w:r>
        <w:t xml:space="preserve"> </w:t>
      </w:r>
    </w:p>
    <w:p>
      <w:pPr>
        <w:pStyle w:val="Heading2"/>
      </w:pPr>
      <w:r>
        <w:t>Abstract</w:t>
      </w:r>
    </w:p>
    <w:p>
      <w:r>
        <w:t>Problem: Rapidly identifying ED patients with sepsis who have elevated serum lactate is important for early management, but lactate testing is not universal and point-of-care (POC) assays vary. Approach: We will use retrospective ED encounters meeting a pragmatic sepsis phenotype to test whether albumin-corrected anion gap (AGcorr) predicts lactate ≥2.0 mmol/L (primary) and ≥4.0 mmol/L (secondary). Key methods include deterministic lab pairing (primary ±30 minutes), AGcorr computation, multiple imputation (MICE) for missing albumin (≥20 imputations), IPW and doubly robust estimation to address selection bias from clinician-ordered lactate, Bland–Altman and Deming regression to harmonize POC vs central lactate, logistic models with restricted cubic splines, penalized elastic-net when events-per-variable is low, temporal 70/30 validation and bootstrap optimism correction. Contribution: A prespecified, reproducible analysis plan to estimate discrimination, calibration, and clinically actionable AGcorr cutoffs with uncertainty that accounts for assay bias and selection effects. Expected outcome: validated AGcorr thresholds and performance metrics to inform ED triage when lactate testing is unavailable or delayed.</w:t>
      </w:r>
    </w:p>
    <w:p>
      <w:r>
        <w:t xml:space="preserve"> </w:t>
      </w:r>
    </w:p>
    <w:p>
      <w:pPr>
        <w:pStyle w:val="Heading2"/>
      </w:pPr>
      <w:r>
        <w:t>Experiments</w:t>
      </w:r>
    </w:p>
    <w:p>
      <w:r>
        <w:t>Datasets: retrospective adult (≥18) ED encounters with suspected infection defined by antibiotic + blood culture within 3 hours plus clinician sepsis documentation; target sample N 700–1,500 (expected lactate≥2 prevalence ≈30%). Extract timestamps, specimen_ids, analyzer_id, electrolytes (Na, Cl, HCO3), albumin, creatinine, vitals, comorbidities, IV fluids/antibiotics prior to labs. Primary pairing window: lactate ↔ BMP within ±30 minutes; sensitivity windows ±60/120/180 minutes. Baselines: (1) uncorrected AG model (AG = Na − (Cl + HCO3)); (2) SOFA‑based ΔSOFA≥2 classifier; (3) triage-vitals-only logistic model; (4) clinician-order model (who had lactate). Modeling: primary = logistic regression predicting lactate≥2.0 with AGcorr continuous (AGcorr = AG + 2.5*(4.0 − albumin[g/dL])) and restricted cubic splines (3 knots); adjust for prespecified core predictors: age, sex, SBP, HR, RR, SpO2, temperature, creatinine/eGFR, CKD, liver disease, diabetes, time-to-lab, assay_type. Imputation: MICE with predictive mean matching for continuous, logistic/polytomous for categorical, include outcome and auxiliaries, ≥20 imputations, 50 iterations. Selection bias: model probability of lactate order (logistic) using triage/pre-lab covariates, compute stabilized IPW truncated at 0.01/0.99, apply doubly robust weighted outcome model. Assay harmonization: Bland–Altman on overlapping POC vs central pairs (require ≥100 pairs if possible); if pooled, include assay_type covariate; if biased, apply Deming regression calibration and propagate calibration uncertainty into bootstrap. Penalization: if EPV &lt;10 switch to elastic-net (alpha ∈ {0,0.25,0.5,0.75,1}, lambda via 10-fold CV). Validation: temporal split (earlier 70% development, later 30% test) and bootstrap optimism correction (1,000 resamples). Evaluation metrics: optimism-corrected AUROC, calibration slope/intercept, Brier score, sensitivity/specificity, NPV/PPV with CIs, decision-curve analysis (net benefit) and threshold-specific NPV prioritized for rule-out. Ablations: (A) AGcorr vs uncorrected AG; (B) include vs exclude albumin imputation (complete-case); (C) ±30 vs ±60/120/180 pairing windows; (D) with vs without IPW/DR weighting; (E) conventional logistic vs elastic-net penalized model. Report threshold selection (Youden and rule-out NPV-maximizing) and confidence intervals via bootstrap.</w:t>
      </w:r>
    </w:p>
    <w:p>
      <w:r>
        <w:t xml:space="preserve"> </w:t>
      </w:r>
    </w:p>
    <w:p>
      <w:pPr>
        <w:pStyle w:val="Heading2"/>
      </w:pPr>
      <w:r>
        <w:t>Risk Factors And Limitations</w:t>
      </w:r>
    </w:p>
    <w:p>
      <w:r>
        <w:t>Selection bias: clinician decision to order lactate may create nonrandom missing outcomes; IPW/DR assumes no unmeasured confounders for ordering. Missing albumin: if &gt;30% missing AGcorr may be infeasible and imputation may be MNAR (missing not at random). Measurement error: POC vs central-lab lactate bias and limited overlapping pairs (&lt;100) can undermine calibration and increase misclassification near the 2.0 mmol/L cutpoint. Low events-per-variable (EPV) may force penalization and limit interpretability of coefficients. Imputation leakage: including post-lab or future variables in MICE can bias results if temporal ordering is not strictly enforced. Unmeasured confounding: renal/hepatic dysfunction or toxin exposures not fully captured may distort AG–lactate relationship. Generalizability: single-center retrospective data and assay-specific calibration limit transfer to other hospitals. Causal limits: study is predictive; causal claims about AG causing lactate changes require additional longitudinal or interventional designs.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