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triherbal_thromboinflammation_diabetic_rats</w:t>
      </w:r>
    </w:p>
    <w:p>
      <w:r>
        <w:t xml:space="preserve"> </w:t>
      </w:r>
    </w:p>
    <w:p>
      <w:pPr>
        <w:pStyle w:val="Heading2"/>
      </w:pPr>
      <w:r>
        <w:t>Title</w:t>
      </w:r>
    </w:p>
    <w:p>
      <w:r>
        <w:t>Effects of a 1:1:1 aqueous extract blend of Moringa oleifera, Ocimum gratissimum, and Vernonia amygdalina on thromboinflammation markers in experimentally induced diabetic rats</w:t>
      </w:r>
    </w:p>
    <w:p>
      <w:r>
        <w:t xml:space="preserve"> </w:t>
      </w:r>
    </w:p>
    <w:p>
      <w:pPr>
        <w:pStyle w:val="Heading2"/>
      </w:pPr>
      <w:r>
        <w:t>Short Hypothesis</w:t>
      </w:r>
    </w:p>
    <w:p>
      <w:r>
        <w:t>Daily oral administration of a 1:1:1 aqueous extract blend of Moringa oleifera, Ocimum gratissimum, and Vernonia amygdalina at 150 mg/kg for 28 days reduces arterial time-to-occlusion and circulating neutrophil extracellular trap (NET) markers (MPO-DNA) in streptozotocin‑induced diabetic rats compared with diabetic vehicle controls.</w:t>
      </w:r>
    </w:p>
    <w:p>
      <w:r>
        <w:t xml:space="preserve"> </w:t>
      </w:r>
    </w:p>
    <w:p>
      <w:pPr>
        <w:pStyle w:val="Heading2"/>
      </w:pPr>
      <w:r>
        <w:t>Related Work</w:t>
      </w:r>
    </w:p>
    <w:p>
      <w:r>
        <w:t>Preclinical studies report that single-herb extracts of Moringa, Ocimum and Vernonia have anti-inflammatory, antioxidant and antiplatelet effects and that multi-herb formulations can modulate metabolic and vascular endpoints. Existing approaches typically test single herbs, lack standardized marker-based dosing, and often omit comprehensive PK/Tox mapping and validated assay interference checks. Prior thrombosis work commonly uses FeCl3 arterial injury and IVC stenosis models but frequently reports small cohorts, limited sex stratification, and incomplete integration of NETs, platelet function, coagulation assays and bioanalytical marker exposure. As a result, limitations include poor batch reproducibility of extracts, unclear marker exposure–response links, potential matrix interference in immunoassays from polyphenols, and weak translational dosing justification.</w:t>
      </w:r>
    </w:p>
    <w:p>
      <w:r>
        <w:t xml:space="preserve"> </w:t>
      </w:r>
    </w:p>
    <w:p>
      <w:pPr>
        <w:pStyle w:val="Heading2"/>
      </w:pPr>
      <w:r>
        <w:t>Abstract</w:t>
      </w:r>
    </w:p>
    <w:p>
      <w:r>
        <w:t>Thromboinflammation (combined clotting and inflammation) is a key complication of diabetes. This study tests whether a standardized 1:1:1 aqueous blend of Moringa oleifera, Ocimum gratissimum, and Vernonia amygdalina alters thromboinflammatory markers in diabetic rats. We will perform acute toxicity screening and a 28‑day oral treatment with marker‑equivalent reporting, measure arterial time‑to‑occlusion (FeCl3 model), venous thrombus weight (IVC stenosis), platelet function, coagulation panels and NET biomarkers (MPO‑DNA, citrullinated histone H3), and obtain PK data for nominated chemical markers. The main contribution is an integrated dataset linking extract batch chemistry, systemic exposure (marker AUC/Cmax), and mechanistic readouts (platelet, coagulation, NETs) with predefined statistical analysis. Expected outcomes are (1) whether the triherbal blend reduces thrombosis-related endpoints relative to diabetic control and individual herbs, (2) marker exposure–response relationships, and (3) assay validation data for plant‑matrix interference. Results will clarify mechanistic signals and inform translational dosing strategies.</w:t>
      </w:r>
    </w:p>
    <w:p>
      <w:r>
        <w:t xml:space="preserve"> </w:t>
      </w:r>
    </w:p>
    <w:p>
      <w:pPr>
        <w:pStyle w:val="Heading2"/>
      </w:pPr>
      <w:r>
        <w:t>Experiments</w:t>
      </w:r>
    </w:p>
    <w:p>
      <w:r>
        <w:t>Experimental groups: non-diabetic vehicle (n=12, sex-balanced), diabetic vehicle (n=12), diabetic + moringa 150 mg/kg (n=12), diabetic + ocimum 150 mg/kg (n=12), diabetic + vernonia 150 mg/kg (n=12), diabetic + blend (1:1:1) 150 mg/kg (n=12), diabetic + positive control (clopidogrel or LMWH, n=12). Pilot: n=4–6 per sex per arm (vehicle + mid dose) to estimate SDs. Diabetes induction: high‑fat diet 4 weeks + low‑dose STZ 35 mg/kg i.p.; validation = two fasting glucose &gt;200 mg/dL. Primary endpoint: FeCl3 carotid time-to-occlusion (seconds) (time-to-event). Secondary endpoints: IVC thrombus weight (mg), platelet aggregation (% max, light transmission aggregometry), thrombin generation (lag, peak, endogenous thrombin potential), TEG/ROTEM parameters (R/CT, MA/MCF), PT/aPTT, fibrinogen (Clauss), D-dimer, MPO-DNA ELISA, citH3, IL-6, CBC with platelets, and plasma marker PK (Cmax, AUC). Baselines: non-diabetic vehicle and diabetic vehicle. Ablation/comparison studies: (A) compare blend vs each individual herb (tests blend synergy), (B) dose-response pilot with 50/150/450 mg/kg in separate arms if pilot safety allows, (C) ex vivo spiking: control plasma/whole blood + graded extract to test direct effects independent of metabolism. Bioanalysis: LC-MS/MS for markers with LLOQ ≤10 ng/mL (target), report mg marker/kg exposure. Sample timing: baseline, pre-dose, PK points 0.25, 0.5, 1, 2, 4, 8, 24 h (sparse/full cohorts), steady state day 14 and day 28, and 2–6 h post-thrombus for acute markers. Sample handling: citrate 3.2% plasma processed within 30–60 min (1500 g ×15 min then 10,000–16,000 g ×10 min for platelet-poor plasma), aliquot and store −80°C. Randomization: computer-generated blocked stratified by baseline glucose and weight. Blinding: surgeons, outcome assessors and statisticians blinded until primary analysis. Statistics: primary = Kaplan‑Meier + log‑rank; Cox model adjusted for sex, baseline glucose and weight; continuous outcomes = ANCOVA or mixed models with baseline covariate; significance α=0.05 two-sided. Evaluation metrics: median time-to-occlusion, hazard ratio (HR) with 95% CI, mean differences with 95% CI, effect sizes (Cohen’s d), assay QC (ELISA CV ≤15%).</w:t>
      </w:r>
    </w:p>
    <w:p>
      <w:r>
        <w:t xml:space="preserve"> </w:t>
      </w:r>
    </w:p>
    <w:p>
      <w:pPr>
        <w:pStyle w:val="Heading2"/>
      </w:pPr>
      <w:r>
        <w:t>Risk Factors And Limitations</w:t>
      </w:r>
    </w:p>
    <w:p>
      <w:r>
        <w:t>Marker availability: vernodalin standard may be unavailable; surrogate marker choice can alter PK bridging. Extract variability: batch-to-batch marker differences and residual solvents or contaminants can confound results. Assay interference: plant polyphenols and tannins can cause false signals in ELISAs and DNA assays (matrix effect). Model limitations: FeCl3 and IVC models are acute rodent models and may not fully predict human thrombotic disease. Power and sex effects: pooled powering may miss sex-specific effects if interaction exists. PK interactions: herb–herb metabolism interactions can change marker exposure and complicate interpretation. Welfare confounds: analgesics (e.g., buprenorphine) or anesthesia can affect coagulation/NETs. Sample volume limits: serial blood draws constrain full PK in each animal (necessitates sparse sampling). Translatability: rat NOAEL→human via Km scaling is an approximation and may not capture human metabolism. Technical failure modes: LC‑MS/MS method sensitivity/stability failures, antibody cross-reactivity failures for rat reagents, and unexpected high variability in primary endpoint reducing statistical power.</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