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perceived_trust_fcm_cds</w:t>
      </w:r>
    </w:p>
    <w:p>
      <w:r>
        <w:t xml:space="preserve"> </w:t>
      </w:r>
    </w:p>
    <w:p>
      <w:pPr>
        <w:pStyle w:val="Heading2"/>
      </w:pPr>
      <w:r>
        <w:t>Title</w:t>
      </w:r>
    </w:p>
    <w:p>
      <w:r>
        <w:t>Quantifying clinicians' perceived trust in interpretable COVID-19 clinical decision support using fuzzy cognitive maps</w:t>
      </w:r>
    </w:p>
    <w:p>
      <w:r>
        <w:t xml:space="preserve"> </w:t>
      </w:r>
    </w:p>
    <w:p>
      <w:pPr>
        <w:pStyle w:val="Heading2"/>
      </w:pPr>
      <w:r>
        <w:t>Short Hypothesis</w:t>
      </w:r>
    </w:p>
    <w:p>
      <w:r>
        <w:t>Clinicians' perceived trust scores derived from fuzzy cognitive maps (FCMs) will predict adherence to CDS recommendations: a one standard‑deviation increase in FCM‑quantified trust is associated with an odds ratio ≥ 1.5 for following the CDS recommendation, controlling for clinician and vignette covariates.</w:t>
      </w:r>
    </w:p>
    <w:p>
      <w:r>
        <w:t xml:space="preserve"> </w:t>
      </w:r>
    </w:p>
    <w:p>
      <w:pPr>
        <w:pStyle w:val="Heading2"/>
      </w:pPr>
      <w:r>
        <w:t>Related Work</w:t>
      </w:r>
    </w:p>
    <w:p>
      <w:r>
        <w:t>Existing work falls into three streams: psychometric trust scales (Likert instruments and validated questionnaires), local explainability methods for ML (feature‑attribution such as SHAP or LIME), and user‑centric evaluations of clinical decision support (clinician behavior, task time, cognitive load). Limitations: (1) psychometric scales measure reported trust but often ignore clinicians' internal causal beliefs about how model outputs arise; (2) feature‑attribution explainers provide evidence about model mechanics but are weakly connected to clinicians' mental models and to measured behavioral outcomes; (3) most evaluations use one‑off Likert items or post‑hoc interviews rather than formal, quantitative mental‑model elicitation; (4) prior studies rarely validate trust measurements against a reproducible metric that links mental models to behavior; (5) causal inference and multilevel designs are underused, limiting generalization across vignettes and sites. These gaps leave unresolved whether a structured, quantitative mental‑model elicitation can both capture clinicians' perceived trust and predict safety‑relevant behavior.</w:t>
      </w:r>
    </w:p>
    <w:p>
      <w:r>
        <w:t xml:space="preserve"> </w:t>
      </w:r>
    </w:p>
    <w:p>
      <w:pPr>
        <w:pStyle w:val="Heading2"/>
      </w:pPr>
      <w:r>
        <w:t>Abstract</w:t>
      </w:r>
    </w:p>
    <w:p>
      <w:r>
        <w:t>We propose a methodology to elicit, quantify, and validate clinicians' perceived trust in an interpretable machine‑learning clinical decision support (CDS) system for COVID‑19 diagnosis. The core approach uses fuzzy cognitive maps (FCMs) to capture clinicians' internal causal beliefs about how explanations, provenance, and patient features shape trust. We convert FCMs into a continuous trust score per vignette and validate this quantified perceived trust using a degree‑of‑agreement metric that compares FCM outputs to per‑vignette trust ratings and observed adherence. The main contribution is a reproducible pipeline linking structured mental‑model elicitation (FCMs), psychometric validation (CFA/IRT), and behavioral outcomes (adherence, accuracy, safety proxies) within a pre‑specified multilevel analysis. Expected impact: a validated, actionable measure of perceived trust that predicts adherence and can be used to evaluate and compare interpretable explainers in clinical CDS settings.</w:t>
      </w:r>
    </w:p>
    <w:p>
      <w:r>
        <w:t xml:space="preserve"> </w:t>
      </w:r>
    </w:p>
    <w:p>
      <w:pPr>
        <w:pStyle w:val="Heading2"/>
      </w:pPr>
      <w:r>
        <w:t>Experiments</w:t>
      </w:r>
    </w:p>
    <w:p>
      <w:r>
        <w:t>Datasets: (1) Synthetic FHIR vignette bundles produced with Synthea and expert edits for COVID‑19/sepsis presentations (n &gt;= 12 vignette types, including 3 calibration/shock cases); (2) optional de‑identified multi‑site OMOP derivatives if available for external replication. Participants: target N = 200 clinicians, each reviewing 12 vignettes (within‑subject design). Baselines: (A) standard Likert trust scale (12 candidate items aggregated by CFA), (B) no explanation condition, (C) feature‑attribution explanation (SHAP style) condition, (D) provenance information only. Method under test: FCM‑based elicitation producing a per‑vignette continuous trust score. Degree‑of‑agreement metric: compute Spearman rank correlation between FCM‑predicted trust and per‑vignette Likert trust; also compute normalized mean absolute error (nMAE) between predicted and observed trust. Evaluation metrics: primary — latent perceived trust (CFA factor score; reliability McDonald’s ω), adherence (binary; odds ratio per SD trust), degree‑of‑agreement (Spearman rho and nMAE); secondary — decision accuracy (match to gold standard action), time‑to‑decision (seconds), cognitive load (NASA‑TLX score), psychometric fit (CFI, TLI, RMSEA, SRMR for ordinal CFA), IRT discrimination parameters (graded‑response 2PL). Experimental setup: balanced Latin‑square counterbalancing of explanation conditions stratified by clinician role; 2‑minute breaks after 4 vignettes; random seeds logged. Statistical analysis: mixed‑effects models with participant and vignette random intercepts: Trust_ij = β0 + β1 Explanation_ij + β2 Provenance_ij + β3 Covariates + u_i + v_j + ε_ij; Adhere_ij: logit(Pr) = γ0 + γ1 Trust_ij + γ2 Explanation_ij + γ3 Covariates + u_i + v_j. Mediation: multilevel mediation (1‑1‑1) estimating indirect effect of Explanation→Trust→Adherence via multilevel SEM (bootstrapped CIs). Missing data: ML estimation in mixed models primary; clustered MICE imputation as sensitivity. Ablations: (1) remove FCM elicitation and compare predictive power for adherence vs FCM; (2) score FCM trust via different aggregation rules (sum of weighted influences vs normalized eigenvector) and compare degree‑of‑agreement; (3) remove provenance info to test provenance effect. Power &amp; design parameters: plan N=200, 12 vignettes/participant, assume participant ICC=0.20, vignette ICC=0.10; statistician will supply simulation code for detectable d and OR across ICC scenarios. Reproducibility: containerized experiment backend, logged seeds, and versioned synthetic FHIR bundles.</w:t>
      </w:r>
    </w:p>
    <w:p>
      <w:r>
        <w:t xml:space="preserve"> </w:t>
      </w:r>
    </w:p>
    <w:p>
      <w:pPr>
        <w:pStyle w:val="Heading2"/>
      </w:pPr>
      <w:r>
        <w:t>Risk Factors And Limitations</w:t>
      </w:r>
    </w:p>
    <w:p>
      <w:r>
        <w:t>Technical failure modes: low reliability of the FCM elicitation (noisy or inconsistent weights), non‑convergence of multilevel models with complex random slopes, and poor CFA/IRT fit for ordinal data. Data/evaluation biases: synthetic vignettes may not cover real clinical variability; participant samples may be unrepresentative (role, experience, site), causing limited external validity. Measurement limits: FCMs capture stated causal beliefs but may not reflect tacit heuristics; degree‑of‑agreement metrics (rank correlation) can miss systematic directional biases. Scalability and compute: interactive FCM elicitation and repeatable model serving require backend resources and container orchestration; large multicenter deployments increase ETL complexity. Generalization limits: findings may not transfer to non‑COVID clinical domains or to real patient care because vignettes are simulated. Ethical/regulatory limits: use of calibration‑shock cases may induce clinician distress and require careful IRB oversight. No mitigation strategies are included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