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pos_corpus_anomaly_detection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Statistical anomaly detection of annotation errors in a part-of-speech tagged corpus using hybrid ensembles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hybrid ensemble combining surface features, contextual embeddings, language-model surprisal, and reconstruction loss will detect annotation errors in a POS-tagged Penn Treebank corpus with at least 0.05 higher document-level AUPRC than an SBERT+kNN baseline on held-out natural test data.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methods for finding label or annotation errors use single-signal anomaly detectors (for example: embedding distance, token-level surprisal, or reconstruction loss). Other work uses synthetic perturbations to train detectors but often faces a synthetic-to-natural gap: models tuned on synthetic errors do not transfer reliably to real annotation mistakes. Calibration (making scores reflect true probabilities) and per-error-type reliability are underexplored in error-detection pipelines. Prior ensemble approaches exist in anomaly detection but often lack principled fusion and regularization against overfitting to synthetic artifacts. Common weaknesses are: 1) failure to pre-register metrics and power targets for rare events, 2) weak adversarial validation of synthetic generators, 3) scarce treatment of low-positive slices (few errors) for model capacity and calibration, and 4) inadequate monitoring rules with sample-size justification.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automatic detection of annotation errors in a part-of-speech (POS) tagged corpus by treating errors as statistical anomalies. We fit probability-based and distance-based scorers to a manually marked corpus and flag items that deviate from the learned distribution. Our approach is a hybrid ensemble that fuses surface-level signals (character n-grams, edit distance), contextual embeddings (sentence vectors), language-model surprisal (how unlikely a token sequence is under a trained language model), and reconstruction loss from a denoising autoencoder. We evaluate transfer from multiple synthetic error generators to held-out natural annotation errors, use adversarial validation to screen synthetic generators, pre-register document-level AUPRC as the primary metric (AUPRC measures precision-recall tradeoff for rare positives), and provide per-error-type calibration. The main contribution is a reproducible pipeline that quantifies synthetic→natural transfer, regularizes ensemble fusion against synthetic artifacts, and produces calibrated risk scores to prioritize human review. Expected outcome: higher precision of flagged annotations and reduced reviewer workload.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Penn Treebank POS-tagged corpus (manually annotated). Create synthetic errors via three generators: rule-based surface edits (edit distance, keyboard confusion), LM-guided perturbations (masked-LM/T5 replace/insert/delete), and knowledge-driven factual swaps (entity replacements). Splits: train = 10,000 clean documents + 5,000 synthetic-injected docs (seeded per-generator), val = 2,000 mixed documents, test = 5,000 natural documents (untouched) + an enriched test with 500 positive-labeled anomalies for power. Baselines: (A) SBERT embeddings + kNN scoring, (B) TF-IDF char n-gram + IsolationForest, (C) LM-surprisal alone, (D) reconstruction-loss alone. Proposed: hybrid ensemble that z-score normalizes component scores and uses a small logistic meta-model with L2 regularization; meta-model trained with leave-one-generator-out folds. Metrics: primary = document-level AUPRC (area under precision-recall curve); secondary = precision@k (default k=1000), precision@R (R = true positives), recall@k, AUROC, stratified ECE (expected calibration error) per error type, and reviewer-hours = k * 2 minutes / 60. Statistical tests and power: paired-bootstrap on documents with 10,000 iterations, publish seeds; pre-registered hypotheses H1 (ΔAUPRC ≥ 0.05 vs SBERT+kNN) and H2 (contrastive fine-tuning ΔAUPRC ≥ 0.03). Ablations: remove each component (surface, embedding, surprisal, recon) to measure contribution; compare meta-model vs simple averaging; compare calibration methods: isotonic per-type when N≥100 vs pooled temperature + per-type offset when N&lt;100. Adversarial validation: two classifiers (SBERT+MLP and char n-gram TF-IDF + Random Forest) with stratified 80/20 splits and k-fold CV; generators flagged if adv-val AUC &gt; 0.65. Report synthetic AUPRC, natural AUPRC, delta (synthetic→natural), ECE shift, and recall@k drop. Publish hyperparameters, random seeds, injection logs, and hosted checkpoints to ensure reproducibility.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Synthetic-to-natural gap: synthetic errors may not mimic real annotation mistakes, causing poor transfer. 2) Low-positive regimes: when few real errors exist (N&lt;100) model fusion and calibration can overfit and give unstable scores. 3) Annotator disagreement: inconsistent human labels reduce gold quality and bias evaluation. 4) False positives: a high false alarm rate can overwhelm reviewers and increase cost. 5) Calibration failure: calibration methods (isotonic or temperature scaling) may be unreliable on small slices. 6) Monitoring delays: drift detection rules may require many labels to trigger, delaying response. 7) Leakage risk: preprocessing or shared seeds can leak synthetic artifacts into validation folds. 8) Compute and storage: LM surprisal and embedding banks increase compute (hundreds of GPU-hours) and storage (tens to hundreds of GB). 9) Limited generalization: methods tuned on Penn Treebank POS errors may not generalize to other corpora or annotation schemes. 10) Legal/privacy constraints: annotator data and provenance logs may include sensitive metadata restricting sharing.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