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prob_smooth_attention_mil</w:t>
      </w:r>
    </w:p>
    <w:p>
      <w:r>
        <w:t xml:space="preserve"> </w:t>
      </w:r>
    </w:p>
    <w:p>
      <w:pPr>
        <w:pStyle w:val="Heading2"/>
      </w:pPr>
      <w:r>
        <w:t>Title</w:t>
      </w:r>
    </w:p>
    <w:p>
      <w:r>
        <w:t>Probabilistic smooth attention for deep multiple-instance learning in medical imaging</w:t>
      </w:r>
    </w:p>
    <w:p>
      <w:r>
        <w:t xml:space="preserve"> </w:t>
      </w:r>
    </w:p>
    <w:p>
      <w:pPr>
        <w:pStyle w:val="Heading2"/>
      </w:pPr>
      <w:r>
        <w:t>Short Hypothesis</w:t>
      </w:r>
    </w:p>
    <w:p>
      <w:r>
        <w:t>Modeling attention as a probabilistic distribution with a Laplacian prior that enforces local smoothness causes improved slide-level AUC and better-calibrated uncertainty maps compared to deterministic softmax attention when trained with the same backbone and data.</w:t>
      </w:r>
    </w:p>
    <w:p>
      <w:r>
        <w:t xml:space="preserve"> </w:t>
      </w:r>
    </w:p>
    <w:p>
      <w:pPr>
        <w:pStyle w:val="Heading2"/>
      </w:pPr>
      <w:r>
        <w:t>Related Work</w:t>
      </w:r>
    </w:p>
    <w:p>
      <w:r>
        <w:t>Multiple-instance learning (MIL) for pathology and CT tasks commonly uses deterministic attention or pooling to score instances; these methods produce single point attention values and do not quantify uncertainty. Prior Bayesian or probabilistic attention proposals add uncertainty but either ignore explicit spatial adjacency (no local smoothing) or scale poorly when modeling long-range dependencies. Spatial smoothing is sometimes applied post hoc or via ad-hoc filters, which does not integrate uncertainty into learning. Gaussian-process (GP) priors and structured priors capture global dependencies but introduce heavy O(nM^2) / O(M^3) costs and require inducing approximations. Reparameterized Dirichlet/Kumaraswamy approaches produce simplex-valued attention but can be hard to tune and may not model local smoothness efficiently. Limitations across these approaches are: (1) lack of combined local+global prior in a scalable probabilistic attention, (2) insufficient uncertainty calibration for instance-level contributions, and (3) numerical and computational tradeoffs not addressed consistently across datasets and bag sizes.</w:t>
      </w:r>
    </w:p>
    <w:p>
      <w:r>
        <w:t xml:space="preserve"> </w:t>
      </w:r>
    </w:p>
    <w:p>
      <w:pPr>
        <w:pStyle w:val="Heading2"/>
      </w:pPr>
      <w:r>
        <w:t>Abstract</w:t>
      </w:r>
    </w:p>
    <w:p>
      <w:r>
        <w:t>We address the problem of assigning calibrated, uncertainty-aware attention to instances (patches) in deep multiple-instance learning (MIL) for medical images. We propose a probabilistic attention framework that models a distribution over attention logits and imposes a Laplacian prior to encode local smoothness between adjacent instances; optional low-rank or inducing-point components model longer-range dependencies. The method learns posterior mean and variance for per-instance attention and produces attention maps whose spread quantifies uncertainty. Training optimizes an evidence lower bound with a KL term between a diagonal Gaussian posterior and the Laplacian-structured prior; Monte Carlo sampling yields bag predictions and calibration metrics. Main contributions: (1) a scalable probabilistic attention model combining local (Laplacian) and optional global structure, (2) numerically-stable KL/variance parameterization and unit tests for correctness, and (3) evaluation protocols that measure slide AUC, calibration, and localization. Expected outcome: improved predictive calibration and more informative localization maps, especially in low-prevalence and heterogeneous clinical image sets.</w:t>
      </w:r>
    </w:p>
    <w:p>
      <w:r>
        <w:t xml:space="preserve"> </w:t>
      </w:r>
    </w:p>
    <w:p>
      <w:pPr>
        <w:pStyle w:val="Heading2"/>
      </w:pPr>
      <w:r>
        <w:t>Experiments</w:t>
      </w:r>
    </w:p>
    <w:p>
      <w:r>
        <w:t>Datasets: Camelyon16 (dense pixel masks) and stratified TCGA subsets for selected lesion/phenotype tasks. Baselines: deterministic softmax attention MIL, logistic-normal (Gaussian-logit) without Laplacian, Dirichlet/Kumaraswamy attention reparameterizations, and GP-inducing attention variant. Evaluation metrics: primary = slide AUC; secondary = negative log-likelihood (NLL), expected calibration error (ECE, 15 bins), Brier score, localization IoU/Dice at thresholds {0.5,0.25,0.1}, lesion-level FROC, training stability (gradient-norm), and runtime/memory footprints. Setup: frozen precomputed embeddings (ResNet50/ConvNeXt, d=1024, FP16), bag sizes ∈ {256,512,1024} (default 512, use 256 for prevalence&lt;1%), MC samples train ∈ {4,8} (default 8) and eval = 32, KL anneal beta linear 0→1 over 10 epochs, Laplacian tau grid {1e-3,1e-2,1e-1,1.0}, entropy weight grid {0,1e-4,1e-3,1e-2}. Repeats and selection: seeds = [42,123,2023,7,999], inner 3-fold CV for hyperparameter selection, outer repeated stratified 5-fold with 5 repetitions, report mean±95% CI. Ablations: (A) Laplacian effect: tau grid and no-Laplacian comparison; (B) variance mapping: softplus(raw)+sigma_min^2 vs exp(raw) and varying sigma_min ∈ {1e-8,1e-6,1e-4}; (C) jitter ε ordering and values {1e-8,1e-6,1e-4}; (D) GP inducing M ∈ {32,64,128} vs Laplacian-only. Numeric tests: analytic KL vs finite-difference (eps=1e-5) with tiered tolerances (n≤256 rel&lt;1e-4; n&gt;256 rel&lt;1e-3), Monte-Carlo reference limited to n≤32 (S up to 100k) else use importance-weighted estimates; SLQ logdet with diagonal (Jacobi) preconditioner, report SLQ mean±SE from probe variance. Statistical tests: paired DeLong/bootstrap for AUC, Benjamini–Hochberg across ablations, report effect sizes; run 5 seeds per config and publish runtimes on 16GB and 32GB GPUs.</w:t>
      </w:r>
    </w:p>
    <w:p>
      <w:r>
        <w:t xml:space="preserve"> </w:t>
      </w:r>
    </w:p>
    <w:p>
      <w:pPr>
        <w:pStyle w:val="Heading2"/>
      </w:pPr>
      <w:r>
        <w:t>Risk Factors And Limitations</w:t>
      </w:r>
    </w:p>
    <w:p>
      <w:r>
        <w:t>Technical failure modes: incorrect KL sign or entropy handling (will invert training gradients), numerical instability with extreme variances or FP16 leading to NaNs, and inaccurate SLQ logdet estimates without preconditioning. Computational limits: graph-GP components scale poorly with inducing size M and large bag size n; memory for embeddings grows with n and d. Modeling limits: diagonal (mean-field) posterior ignores posterior correlations; full or low-rank Σ increases cost. Data and evaluation biases: limited annotation quality, scanner heterogeneity, and class-imbalance (very low prevalence) can confound results. Reproducibility issues: non-deterministic sparse ops and power-method tolerances may cause run-to-run variance. Generalization limits: method tuned to patch-grid adjacency may not transfer to modalities or tasks with different spatial statistics. Experimental acceptance criteria must account for SLQ error bars and relaxed numeric tolerances at large 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