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xai_mri_distal_myopathy</w:t>
      </w:r>
    </w:p>
    <w:p>
      <w:r>
        <w:t xml:space="preserve"> </w:t>
      </w:r>
    </w:p>
    <w:p>
      <w:pPr>
        <w:pStyle w:val="Heading2"/>
      </w:pPr>
      <w:r>
        <w:t>Title</w:t>
      </w:r>
    </w:p>
    <w:p>
      <w:r>
        <w:t>Hierarchical occlusion and ensemble explainability for MRI-based diagnostic support in distal myopathies</w:t>
      </w:r>
    </w:p>
    <w:p>
      <w:r>
        <w:t xml:space="preserve"> </w:t>
      </w:r>
    </w:p>
    <w:p>
      <w:pPr>
        <w:pStyle w:val="Heading2"/>
      </w:pPr>
      <w:r>
        <w:t>Short Hypothesis</w:t>
      </w:r>
    </w:p>
    <w:p>
      <w:r>
        <w:t>Integrating hierarchical occlusion with an ensemble of explainability methods into an MRI diagnostic model will cause a clinically meaningful increase in lesion-detection sensitivity (≥7% absolute) and produce more faithful and stable explanations (deletion/insertion AUC ≥0.80 and mean IoU ≥0.70) compared to the same model without these XAI interventions, as measured in controlled reader studies and automated metrics.</w:t>
      </w:r>
    </w:p>
    <w:p>
      <w:r>
        <w:t xml:space="preserve"> </w:t>
      </w:r>
    </w:p>
    <w:p>
      <w:pPr>
        <w:pStyle w:val="Heading2"/>
      </w:pPr>
      <w:r>
        <w:t>Related Work</w:t>
      </w:r>
    </w:p>
    <w:p>
      <w:r>
        <w:t>Existing work applies individual XAI techniques (saliency maps such as Grad-CAM, attribution methods like DeepSHAP, concept tests like TCAV, and generative counterfactuals) to medical imaging models. Prior studies show these methods can highlight model-relevant regions but suffer from inconsistent localization, sensitivity to small input changes, and artifacts from simple masking deletion tests. Counterfactual generators can produce realistic edits but risk hallucinations and lack standardized fidelity checks. Evaluation practices are fragmented: many studies report qualitative maps or single metrics without reader trials, physics-aware checks, or pre-registered statistical plans. Privacy-preserving efforts (federated learning, DP) trade utility for privacy but rarely report concrete ε/δ choices or utility curves for clinical tasks. Open limitations are instability of explanations, lack of ensemble or hierarchical occlusion strategies, insufficient human validation of counterfactual realism, and weak reproducibility of evaluation pipelines.</w:t>
      </w:r>
    </w:p>
    <w:p>
      <w:r>
        <w:t xml:space="preserve"> </w:t>
      </w:r>
    </w:p>
    <w:p>
      <w:pPr>
        <w:pStyle w:val="Heading2"/>
      </w:pPr>
      <w:r>
        <w:t>Abstract</w:t>
      </w:r>
    </w:p>
    <w:p>
      <w:r>
        <w:t>We address the problem of producing clinician-usable, reliable explanations for deep learning models that assist MRI diagnosis of distal myopathies. We propose combining a hierarchical occlusion technique (occluding image regions at nested anatomical scales) with an ensemble of explainability methods to produce refined, anatomically grounded visualizations. Main contributions are: (1) a hierarchical occlusion protocol that tests attribution at multiple spatial scales, (2) an ensemble framework that fuses per-method explanations into clinician-oriented maps, (3) a pre-registered evaluation combining automated metrics (faithfulness, stability, calibration) and a multi-reader Obuchowski–Rockette reader study, and (4) counterfactual realism checks using k-space fidelity and human ratings. Expected outcomes are measurable gains in lesion-detection sensitivity under XAI-assisted reads, explanations that exceed predefined faithfulness and stability thresholds, and a reproducible evaluation package that supports regulatory transparency. The work aims to improve trust and traceability of MRI diagnostic support tools for neuromuscular disorders.</w:t>
      </w:r>
    </w:p>
    <w:p>
      <w:r>
        <w:t xml:space="preserve"> </w:t>
      </w:r>
    </w:p>
    <w:p>
      <w:pPr>
        <w:pStyle w:val="Heading2"/>
      </w:pPr>
      <w:r>
        <w:t>Experiments</w:t>
      </w:r>
    </w:p>
    <w:p>
      <w:r>
        <w:t>Datasets: multi-center MRI cohort of distal myopathy cases with raw k-space when available and consensus 3D lesion masks; pilot dataset n=200 cases for threshold selection; main reader-study dataset n=200–300 cases stratified by lesion size (tiny &lt;5 mm, small 5–10 mm, medium 10–20 mm, large &gt;20 mm) and vendor/field-strength. Baselines: (A) model outputs without explanations, (B) single-method explainers: volumetric Grad-CAM, DeepSHAP, integrated gradients, (C) counterfactual diffusion outputs, (D) concept-based TCAV scores. Proposed methods: hierarchical occlusion (multi-scale occlusion windows aligned to atlas ROIs) and ensemble fusion (weighted combination of normalized explanation maps). Evaluation metrics: lesion-detection sensitivity and specificity, reader-AUC, deletion/insertion AUC (faithfulness), explanation stability mean IoU under prescribed perturbations, expected calibration error (ECE) for explanation-confidence, SSIM and LPIPS for counterfactual fidelity, time-to-decision, and human realism Likert scores (3 raters). Statistical plan: pre-register GLMM (logit link) for binary reads with reader and case random effects; primary contrast β_{AI+XAI} − β_{AI}; Obuchowski–Rockette power simulations with prevalence 25%, baseline reader AUC 0.80–0.85, expected ΔAUC 0.03–0.06, between-reader SD 0.08–0.12, between-case SD 0.06–0.10; target 10–12 readers, 200–300 cases. Controlled experiments and ablations: (1) ensemble vs best single explainer, (2) hierarchical occlusion vs flat occlusion, (3) inpainting-based deletion vs zero-masking deletion, (4) gating explanations by thresholds (faithfulness AUC≥0.80, IoU≥0.70, ECE≤0.10) vs no gating, (5) counterfactuals accepted with and without k-space/laten-distance checks. Robustness sweeps: motion (mild/moderate/severe), SNR −3/−6/−9 dB, k-space undersampling 1.5×/2×/3×, recon variants (linear, GRAPPA, CS, learned). Report pre-specified primary endpoints, secondary endpoints, and all seeds, container images, and code for reproducibility.</w:t>
      </w:r>
    </w:p>
    <w:p>
      <w:r>
        <w:t xml:space="preserve"> </w:t>
      </w:r>
    </w:p>
    <w:p>
      <w:pPr>
        <w:pStyle w:val="Heading2"/>
      </w:pPr>
      <w:r>
        <w:t>Risk Factors And Limitations</w:t>
      </w:r>
    </w:p>
    <w:p>
      <w:r>
        <w:t>Statistical/model risks: binormal ROC assumption may be violated (unequal variances or heavy tails), affecting mapped sensitivity claims; clustered multiple lesions per case complicate lesion-level inference and may reduce power. Data and annotation risks: inter-rater variability and limited positive-case counts in some lesion-size/vendor strata can bias metrics; per-voxel adjudication may be inconsistent. Explanation risks: occlusion/inpainting can introduce artifacts or trigger model OOD behavior; counterfactual generators may hallucinate plausible-looking but incorrect anatomy. Evaluation risks: reader studies are costly and subject to learning or fatigue effects; pre-registered thresholds (e.g., AUC≥0.80) are heuristic and may not reflect clinical utility. Compute and scalability: counterfactual diffusion and TCAV analyses require high GPU-hours and storage (multiple TB), limiting reproducibility for resource-constrained sites. Privacy and deployment: federated/DP approaches reduce utility and require careful ε/δ selection; synthetic k-space may not fully capture site-specific physics, limiting generalization. Regulatory and generalization limits: results on distal myopathies may not transfer to other neuromuscular or MRI tasks; human factors and HFE evidence may be required for clinical deployment.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